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79A68" w14:textId="2F511969" w:rsidR="00162B8A" w:rsidRPr="00162B8A" w:rsidRDefault="00162B8A" w:rsidP="0062131C">
      <w:pPr>
        <w:spacing w:after="0" w:line="240" w:lineRule="auto"/>
        <w:rPr>
          <w:rFonts w:ascii="Arial" w:hAnsi="Arial" w:cs="Arial"/>
          <w:caps/>
          <w:sz w:val="18"/>
          <w:szCs w:val="18"/>
        </w:rPr>
      </w:pPr>
      <w:bookmarkStart w:id="0" w:name="_GoBack"/>
      <w:bookmarkEnd w:id="0"/>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sidR="00D433A2">
        <w:rPr>
          <w:rFonts w:ascii="Arial" w:hAnsi="Arial" w:cs="Arial"/>
          <w:b/>
          <w:caps/>
        </w:rPr>
        <w:t xml:space="preserve">                     </w:t>
      </w:r>
      <w:r w:rsidRPr="00162B8A">
        <w:rPr>
          <w:rFonts w:ascii="Arial" w:hAnsi="Arial" w:cs="Arial"/>
          <w:caps/>
          <w:sz w:val="18"/>
          <w:szCs w:val="18"/>
        </w:rPr>
        <w:t>OUR Ref: HP19/</w:t>
      </w:r>
      <w:r w:rsidR="00165BA1">
        <w:rPr>
          <w:rFonts w:ascii="Arial" w:hAnsi="Arial" w:cs="Arial"/>
          <w:caps/>
          <w:sz w:val="18"/>
          <w:szCs w:val="18"/>
        </w:rPr>
        <w:t>9570</w:t>
      </w:r>
    </w:p>
    <w:p w14:paraId="1B9C68EC" w14:textId="77777777" w:rsidR="00DF5E6C" w:rsidRDefault="00DF5E6C" w:rsidP="0062131C">
      <w:pPr>
        <w:spacing w:after="0" w:line="240" w:lineRule="auto"/>
        <w:rPr>
          <w:rFonts w:ascii="Arial" w:hAnsi="Arial" w:cs="Arial"/>
          <w:b/>
          <w:caps/>
        </w:rPr>
      </w:pPr>
    </w:p>
    <w:p w14:paraId="0A216E92" w14:textId="6A3DDEC2" w:rsidR="00781266" w:rsidRPr="00162B8A" w:rsidRDefault="00261468" w:rsidP="0062131C">
      <w:pPr>
        <w:spacing w:after="0" w:line="240" w:lineRule="auto"/>
        <w:rPr>
          <w:rFonts w:ascii="Arial" w:hAnsi="Arial" w:cs="Arial"/>
          <w:caps/>
        </w:rPr>
      </w:pPr>
      <w:r>
        <w:rPr>
          <w:rFonts w:ascii="Arial" w:hAnsi="Arial" w:cs="Arial"/>
          <w:b/>
          <w:caps/>
        </w:rPr>
        <w:t>HPCA LEGAL CASE NOTE</w:t>
      </w:r>
      <w:r w:rsidR="00162B8A">
        <w:rPr>
          <w:rFonts w:ascii="Arial" w:hAnsi="Arial" w:cs="Arial"/>
          <w:b/>
          <w:caps/>
        </w:rPr>
        <w:tab/>
      </w:r>
      <w:r w:rsidR="00162B8A">
        <w:rPr>
          <w:rFonts w:ascii="Arial" w:hAnsi="Arial" w:cs="Arial"/>
          <w:b/>
          <w:caps/>
        </w:rPr>
        <w:tab/>
      </w:r>
      <w:r w:rsidR="00162B8A">
        <w:rPr>
          <w:rFonts w:ascii="Arial" w:hAnsi="Arial" w:cs="Arial"/>
          <w:b/>
          <w:caps/>
        </w:rPr>
        <w:tab/>
      </w:r>
      <w:r w:rsidR="00162B8A">
        <w:rPr>
          <w:rFonts w:ascii="Arial" w:hAnsi="Arial" w:cs="Arial"/>
          <w:b/>
          <w:caps/>
        </w:rPr>
        <w:tab/>
      </w:r>
      <w:r w:rsidR="00162B8A">
        <w:rPr>
          <w:rFonts w:ascii="Arial" w:hAnsi="Arial" w:cs="Arial"/>
          <w:b/>
          <w:caps/>
        </w:rPr>
        <w:tab/>
      </w:r>
      <w:r w:rsidR="00162B8A">
        <w:rPr>
          <w:rFonts w:ascii="Arial" w:hAnsi="Arial" w:cs="Arial"/>
          <w:b/>
          <w:caps/>
        </w:rPr>
        <w:tab/>
      </w:r>
    </w:p>
    <w:p w14:paraId="3F9B7DB4" w14:textId="77777777" w:rsidR="00261468" w:rsidRDefault="00261468" w:rsidP="0062131C">
      <w:pPr>
        <w:spacing w:after="0" w:line="240" w:lineRule="auto"/>
        <w:rPr>
          <w:rFonts w:ascii="Arial" w:hAnsi="Arial" w:cs="Arial"/>
          <w:b/>
          <w:caps/>
        </w:rPr>
      </w:pPr>
    </w:p>
    <w:p w14:paraId="4B3231BD" w14:textId="77777777" w:rsidR="00261468" w:rsidRPr="00261468" w:rsidRDefault="00261468" w:rsidP="0062131C">
      <w:pPr>
        <w:spacing w:after="0" w:line="240" w:lineRule="auto"/>
        <w:rPr>
          <w:rFonts w:ascii="Arial" w:hAnsi="Arial" w:cs="Arial"/>
          <w:b/>
        </w:rPr>
      </w:pPr>
      <w:r w:rsidRPr="00261468">
        <w:rPr>
          <w:rFonts w:ascii="Arial" w:hAnsi="Arial" w:cs="Arial"/>
          <w:b/>
          <w:u w:val="single"/>
        </w:rPr>
        <w:t>Health Care Complaints Commission v Bainbridge</w:t>
      </w:r>
      <w:r w:rsidRPr="00261468">
        <w:rPr>
          <w:rFonts w:ascii="Arial" w:hAnsi="Arial" w:cs="Arial"/>
          <w:b/>
        </w:rPr>
        <w:t xml:space="preserve"> [2018] NSWCATOD 169</w:t>
      </w:r>
    </w:p>
    <w:p w14:paraId="5FAB0736" w14:textId="77777777" w:rsidR="00261468" w:rsidRDefault="00261468" w:rsidP="0062131C">
      <w:pPr>
        <w:spacing w:after="0" w:line="240" w:lineRule="auto"/>
        <w:rPr>
          <w:rFonts w:ascii="Arial" w:hAnsi="Arial" w:cs="Arial"/>
          <w:u w:val="single"/>
        </w:rPr>
      </w:pPr>
    </w:p>
    <w:p w14:paraId="3F407D81" w14:textId="77777777" w:rsidR="00460A67" w:rsidRPr="00261468" w:rsidRDefault="00460A67" w:rsidP="0062131C">
      <w:pPr>
        <w:spacing w:after="0" w:line="240" w:lineRule="auto"/>
        <w:rPr>
          <w:rFonts w:ascii="Arial" w:hAnsi="Arial" w:cs="Arial"/>
          <w:b/>
        </w:rPr>
      </w:pPr>
      <w:r w:rsidRPr="00261468">
        <w:rPr>
          <w:rFonts w:ascii="Arial" w:hAnsi="Arial" w:cs="Arial"/>
          <w:b/>
        </w:rPr>
        <w:t>Background</w:t>
      </w:r>
    </w:p>
    <w:p w14:paraId="5A71E439" w14:textId="77777777" w:rsidR="00DF5E6C" w:rsidRDefault="00DF5E6C" w:rsidP="0062131C">
      <w:pPr>
        <w:spacing w:after="0" w:line="240" w:lineRule="auto"/>
        <w:rPr>
          <w:rFonts w:ascii="Arial" w:hAnsi="Arial" w:cs="Arial"/>
        </w:rPr>
      </w:pPr>
    </w:p>
    <w:p w14:paraId="6DC4BA49" w14:textId="3B830912" w:rsidR="00E21F37" w:rsidRDefault="00323169" w:rsidP="0062131C">
      <w:pPr>
        <w:spacing w:after="0" w:line="240" w:lineRule="auto"/>
        <w:rPr>
          <w:rFonts w:ascii="Arial" w:hAnsi="Arial" w:cs="Arial"/>
        </w:rPr>
      </w:pPr>
      <w:r>
        <w:rPr>
          <w:rFonts w:ascii="Arial" w:hAnsi="Arial" w:cs="Arial"/>
        </w:rPr>
        <w:t xml:space="preserve">Bainbridge </w:t>
      </w:r>
      <w:r w:rsidR="00172E13">
        <w:rPr>
          <w:rFonts w:ascii="Arial" w:hAnsi="Arial" w:cs="Arial"/>
        </w:rPr>
        <w:t>involved a</w:t>
      </w:r>
      <w:r>
        <w:rPr>
          <w:rFonts w:ascii="Arial" w:hAnsi="Arial" w:cs="Arial"/>
        </w:rPr>
        <w:t xml:space="preserve"> nurse </w:t>
      </w:r>
      <w:r w:rsidR="00172E13">
        <w:rPr>
          <w:rFonts w:ascii="Arial" w:hAnsi="Arial" w:cs="Arial"/>
        </w:rPr>
        <w:t xml:space="preserve">that had repeatedly breached conditions imposed on her registration due to </w:t>
      </w:r>
      <w:r w:rsidR="005C420D">
        <w:rPr>
          <w:rFonts w:ascii="Arial" w:hAnsi="Arial" w:cs="Arial"/>
        </w:rPr>
        <w:t xml:space="preserve">her </w:t>
      </w:r>
      <w:r w:rsidR="00172E13">
        <w:rPr>
          <w:rFonts w:ascii="Arial" w:hAnsi="Arial" w:cs="Arial"/>
        </w:rPr>
        <w:t>opiate dependency</w:t>
      </w:r>
      <w:r>
        <w:rPr>
          <w:rFonts w:ascii="Arial" w:hAnsi="Arial" w:cs="Arial"/>
        </w:rPr>
        <w:t xml:space="preserve">. Following a </w:t>
      </w:r>
      <w:r w:rsidR="00F41704">
        <w:rPr>
          <w:rFonts w:ascii="Arial" w:hAnsi="Arial" w:cs="Arial"/>
        </w:rPr>
        <w:t xml:space="preserve">considerable </w:t>
      </w:r>
      <w:r>
        <w:rPr>
          <w:rFonts w:ascii="Arial" w:hAnsi="Arial" w:cs="Arial"/>
        </w:rPr>
        <w:t xml:space="preserve">number of proceedings under the </w:t>
      </w:r>
      <w:r w:rsidR="001560B8">
        <w:rPr>
          <w:rFonts w:ascii="Arial" w:hAnsi="Arial" w:cs="Arial"/>
        </w:rPr>
        <w:t>Council</w:t>
      </w:r>
      <w:r>
        <w:rPr>
          <w:rFonts w:ascii="Arial" w:hAnsi="Arial" w:cs="Arial"/>
        </w:rPr>
        <w:t>’s health program</w:t>
      </w:r>
      <w:r w:rsidR="00F41704">
        <w:rPr>
          <w:rFonts w:ascii="Arial" w:hAnsi="Arial" w:cs="Arial"/>
        </w:rPr>
        <w:t>,</w:t>
      </w:r>
      <w:r>
        <w:rPr>
          <w:rFonts w:ascii="Arial" w:hAnsi="Arial" w:cs="Arial"/>
        </w:rPr>
        <w:t xml:space="preserve"> </w:t>
      </w:r>
      <w:r w:rsidR="00F41704">
        <w:rPr>
          <w:rFonts w:ascii="Arial" w:hAnsi="Arial" w:cs="Arial"/>
        </w:rPr>
        <w:t xml:space="preserve">urine drug testing (UDT) was made </w:t>
      </w:r>
      <w:r w:rsidR="001560B8">
        <w:rPr>
          <w:rFonts w:ascii="Arial" w:hAnsi="Arial" w:cs="Arial"/>
        </w:rPr>
        <w:t xml:space="preserve">a </w:t>
      </w:r>
      <w:r w:rsidR="00F41704">
        <w:rPr>
          <w:rFonts w:ascii="Arial" w:hAnsi="Arial" w:cs="Arial"/>
        </w:rPr>
        <w:t xml:space="preserve">critical impairment condition </w:t>
      </w:r>
      <w:r w:rsidR="003D5883">
        <w:rPr>
          <w:rFonts w:ascii="Arial" w:hAnsi="Arial" w:cs="Arial"/>
        </w:rPr>
        <w:t xml:space="preserve">(CIC) </w:t>
      </w:r>
      <w:r w:rsidR="00F41704">
        <w:rPr>
          <w:rFonts w:ascii="Arial" w:hAnsi="Arial" w:cs="Arial"/>
        </w:rPr>
        <w:t xml:space="preserve">on the practitioner’s registration. </w:t>
      </w:r>
      <w:r w:rsidR="008B1EAC">
        <w:rPr>
          <w:rFonts w:ascii="Arial" w:hAnsi="Arial" w:cs="Arial"/>
        </w:rPr>
        <w:t xml:space="preserve">The practitioner’s </w:t>
      </w:r>
      <w:r w:rsidR="00E21F37">
        <w:rPr>
          <w:rFonts w:ascii="Arial" w:hAnsi="Arial" w:cs="Arial"/>
        </w:rPr>
        <w:t xml:space="preserve">subsequent </w:t>
      </w:r>
      <w:r w:rsidR="008B1EAC">
        <w:rPr>
          <w:rFonts w:ascii="Arial" w:hAnsi="Arial" w:cs="Arial"/>
        </w:rPr>
        <w:t xml:space="preserve">breach of the </w:t>
      </w:r>
      <w:r w:rsidR="003D5883">
        <w:rPr>
          <w:rFonts w:ascii="Arial" w:hAnsi="Arial" w:cs="Arial"/>
        </w:rPr>
        <w:t>CIC</w:t>
      </w:r>
      <w:r w:rsidR="008B1EAC">
        <w:rPr>
          <w:rFonts w:ascii="Arial" w:hAnsi="Arial" w:cs="Arial"/>
        </w:rPr>
        <w:t xml:space="preserve"> resulted in an automatic referral to the HCCC. </w:t>
      </w:r>
      <w:r w:rsidR="0050033E">
        <w:rPr>
          <w:rFonts w:ascii="Arial" w:hAnsi="Arial" w:cs="Arial"/>
        </w:rPr>
        <w:t xml:space="preserve">The </w:t>
      </w:r>
      <w:r w:rsidR="00E21F37">
        <w:rPr>
          <w:rFonts w:ascii="Arial" w:hAnsi="Arial" w:cs="Arial"/>
        </w:rPr>
        <w:t xml:space="preserve">HCCC consequently </w:t>
      </w:r>
      <w:r w:rsidR="0050033E">
        <w:rPr>
          <w:rFonts w:ascii="Arial" w:hAnsi="Arial" w:cs="Arial"/>
        </w:rPr>
        <w:t xml:space="preserve">prosecuted complaints of unsatisfactory professional conduct, professional misconduct, impairment and lack of competency to practice her profession. </w:t>
      </w:r>
    </w:p>
    <w:p w14:paraId="3049074D" w14:textId="77777777" w:rsidR="00E21F37" w:rsidRDefault="00E21F37" w:rsidP="0062131C">
      <w:pPr>
        <w:spacing w:after="0" w:line="240" w:lineRule="auto"/>
        <w:rPr>
          <w:rFonts w:ascii="Arial" w:hAnsi="Arial" w:cs="Arial"/>
        </w:rPr>
      </w:pPr>
    </w:p>
    <w:p w14:paraId="14F04EC6" w14:textId="2F2B6EDE" w:rsidR="00F41704" w:rsidRDefault="00F41704" w:rsidP="0062131C">
      <w:pPr>
        <w:spacing w:after="0" w:line="240" w:lineRule="auto"/>
        <w:rPr>
          <w:rFonts w:ascii="Arial" w:hAnsi="Arial" w:cs="Arial"/>
        </w:rPr>
      </w:pPr>
      <w:r>
        <w:rPr>
          <w:rFonts w:ascii="Arial" w:hAnsi="Arial" w:cs="Arial"/>
        </w:rPr>
        <w:t>Ultimately</w:t>
      </w:r>
      <w:r w:rsidR="008B1EAC">
        <w:rPr>
          <w:rFonts w:ascii="Arial" w:hAnsi="Arial" w:cs="Arial"/>
        </w:rPr>
        <w:t xml:space="preserve">, the </w:t>
      </w:r>
      <w:r>
        <w:rPr>
          <w:rFonts w:ascii="Arial" w:hAnsi="Arial" w:cs="Arial"/>
        </w:rPr>
        <w:t xml:space="preserve">Tribunal </w:t>
      </w:r>
      <w:r w:rsidR="007426A4">
        <w:rPr>
          <w:rFonts w:ascii="Arial" w:hAnsi="Arial" w:cs="Arial"/>
        </w:rPr>
        <w:t xml:space="preserve">made a decision in favour of the HCCC and </w:t>
      </w:r>
      <w:r>
        <w:rPr>
          <w:rFonts w:ascii="Arial" w:hAnsi="Arial" w:cs="Arial"/>
        </w:rPr>
        <w:t xml:space="preserve">cancelled the practitioner’s </w:t>
      </w:r>
      <w:r w:rsidRPr="00252B6C">
        <w:rPr>
          <w:rFonts w:ascii="Arial" w:hAnsi="Arial" w:cs="Arial"/>
        </w:rPr>
        <w:t xml:space="preserve">registration </w:t>
      </w:r>
      <w:r w:rsidR="00172E13">
        <w:rPr>
          <w:rFonts w:ascii="Arial" w:hAnsi="Arial" w:cs="Arial"/>
        </w:rPr>
        <w:t xml:space="preserve">after </w:t>
      </w:r>
      <w:r>
        <w:rPr>
          <w:rFonts w:ascii="Arial" w:hAnsi="Arial" w:cs="Arial"/>
        </w:rPr>
        <w:t xml:space="preserve">findings of </w:t>
      </w:r>
      <w:r w:rsidR="005C420D">
        <w:rPr>
          <w:rFonts w:ascii="Arial" w:hAnsi="Arial" w:cs="Arial"/>
        </w:rPr>
        <w:t xml:space="preserve">lack of competence </w:t>
      </w:r>
      <w:r>
        <w:rPr>
          <w:rFonts w:ascii="Arial" w:hAnsi="Arial" w:cs="Arial"/>
        </w:rPr>
        <w:t>flowing from</w:t>
      </w:r>
      <w:r w:rsidR="008B1EAC">
        <w:rPr>
          <w:rFonts w:ascii="Arial" w:hAnsi="Arial" w:cs="Arial"/>
        </w:rPr>
        <w:t xml:space="preserve"> her</w:t>
      </w:r>
      <w:r>
        <w:rPr>
          <w:rFonts w:ascii="Arial" w:hAnsi="Arial" w:cs="Arial"/>
        </w:rPr>
        <w:t xml:space="preserve"> impairment.</w:t>
      </w:r>
    </w:p>
    <w:p w14:paraId="4E8AF7B7" w14:textId="77777777" w:rsidR="00F41704" w:rsidRDefault="00F41704" w:rsidP="0062131C">
      <w:pPr>
        <w:spacing w:after="0" w:line="240" w:lineRule="auto"/>
        <w:rPr>
          <w:rFonts w:ascii="Arial" w:hAnsi="Arial" w:cs="Arial"/>
        </w:rPr>
      </w:pPr>
    </w:p>
    <w:p w14:paraId="15A4C8B9" w14:textId="77777777" w:rsidR="005C420D" w:rsidRDefault="005C420D" w:rsidP="005C420D">
      <w:pPr>
        <w:spacing w:after="0" w:line="240" w:lineRule="auto"/>
        <w:rPr>
          <w:rFonts w:ascii="Arial" w:hAnsi="Arial" w:cs="Arial"/>
          <w:b/>
        </w:rPr>
      </w:pPr>
      <w:r>
        <w:rPr>
          <w:rFonts w:ascii="Arial" w:hAnsi="Arial" w:cs="Arial"/>
          <w:b/>
        </w:rPr>
        <w:t>Analysis</w:t>
      </w:r>
    </w:p>
    <w:p w14:paraId="19493AEC" w14:textId="77777777" w:rsidR="007426A4" w:rsidRDefault="007426A4" w:rsidP="005C420D">
      <w:pPr>
        <w:spacing w:after="0" w:line="240" w:lineRule="auto"/>
        <w:rPr>
          <w:rFonts w:ascii="Arial" w:hAnsi="Arial" w:cs="Arial"/>
          <w:b/>
        </w:rPr>
      </w:pPr>
    </w:p>
    <w:p w14:paraId="4E6A3FE7" w14:textId="77777777" w:rsidR="007426A4" w:rsidRPr="00DF5E6C" w:rsidRDefault="007426A4" w:rsidP="007426A4">
      <w:pPr>
        <w:spacing w:after="0" w:line="240" w:lineRule="auto"/>
        <w:rPr>
          <w:rFonts w:ascii="Arial" w:hAnsi="Arial" w:cs="Arial"/>
          <w:i/>
          <w:u w:val="single"/>
        </w:rPr>
      </w:pPr>
      <w:r w:rsidRPr="00DF5E6C">
        <w:rPr>
          <w:rFonts w:ascii="Arial" w:hAnsi="Arial" w:cs="Arial"/>
          <w:i/>
          <w:u w:val="single"/>
        </w:rPr>
        <w:t>Assessment of impairment</w:t>
      </w:r>
    </w:p>
    <w:p w14:paraId="0E4CC077" w14:textId="50A62688" w:rsidR="00436EE9" w:rsidRDefault="00F41704" w:rsidP="0062131C">
      <w:pPr>
        <w:spacing w:after="0" w:line="240" w:lineRule="auto"/>
        <w:rPr>
          <w:rFonts w:ascii="Arial" w:hAnsi="Arial" w:cs="Arial"/>
        </w:rPr>
      </w:pPr>
      <w:r>
        <w:rPr>
          <w:rFonts w:ascii="Arial" w:hAnsi="Arial" w:cs="Arial"/>
        </w:rPr>
        <w:t>The</w:t>
      </w:r>
      <w:r w:rsidR="005C420D">
        <w:rPr>
          <w:rFonts w:ascii="Arial" w:hAnsi="Arial" w:cs="Arial"/>
        </w:rPr>
        <w:t xml:space="preserve"> factual scenario in this case wa</w:t>
      </w:r>
      <w:r>
        <w:rPr>
          <w:rFonts w:ascii="Arial" w:hAnsi="Arial" w:cs="Arial"/>
        </w:rPr>
        <w:t>s unusual in that the practitioner admitted to struggling with her addiction which resulted in repeated breaches of conditions on her registration over a significant period of time</w:t>
      </w:r>
      <w:r w:rsidR="007426A4">
        <w:rPr>
          <w:rFonts w:ascii="Arial" w:hAnsi="Arial" w:cs="Arial"/>
        </w:rPr>
        <w:t xml:space="preserve"> between 2014 and 2017</w:t>
      </w:r>
      <w:r>
        <w:rPr>
          <w:rFonts w:ascii="Arial" w:hAnsi="Arial" w:cs="Arial"/>
        </w:rPr>
        <w:t xml:space="preserve">. </w:t>
      </w:r>
    </w:p>
    <w:p w14:paraId="0FD270D4" w14:textId="77777777" w:rsidR="007426A4" w:rsidRPr="00252B6C" w:rsidRDefault="007426A4" w:rsidP="007426A4">
      <w:pPr>
        <w:spacing w:after="0" w:line="240" w:lineRule="auto"/>
        <w:rPr>
          <w:rFonts w:ascii="Arial" w:hAnsi="Arial" w:cs="Arial"/>
        </w:rPr>
      </w:pPr>
    </w:p>
    <w:p w14:paraId="173F1F0E" w14:textId="03749E34" w:rsidR="007426A4" w:rsidRPr="003D5883" w:rsidRDefault="007426A4" w:rsidP="007426A4">
      <w:pPr>
        <w:spacing w:after="0" w:line="240" w:lineRule="auto"/>
        <w:rPr>
          <w:rFonts w:ascii="Arial" w:hAnsi="Arial" w:cs="Arial"/>
        </w:rPr>
      </w:pPr>
      <w:r>
        <w:rPr>
          <w:rFonts w:ascii="Arial" w:hAnsi="Arial" w:cs="Arial"/>
        </w:rPr>
        <w:t>T</w:t>
      </w:r>
      <w:r w:rsidRPr="00252B6C">
        <w:rPr>
          <w:rFonts w:ascii="Arial" w:hAnsi="Arial" w:cs="Arial"/>
        </w:rPr>
        <w:t>he Tribunal found that the evidence clearly showed that the practitioner had a “</w:t>
      </w:r>
      <w:r w:rsidRPr="00252B6C">
        <w:rPr>
          <w:rFonts w:ascii="Arial" w:hAnsi="Arial" w:cs="Arial"/>
          <w:i/>
        </w:rPr>
        <w:t>longstanding and continuing”</w:t>
      </w:r>
      <w:r w:rsidRPr="00252B6C">
        <w:rPr>
          <w:rStyle w:val="FootnoteReference"/>
          <w:rFonts w:ascii="Arial" w:hAnsi="Arial" w:cs="Arial"/>
        </w:rPr>
        <w:footnoteReference w:id="1"/>
      </w:r>
      <w:r w:rsidRPr="00252B6C">
        <w:rPr>
          <w:rFonts w:ascii="Arial" w:hAnsi="Arial" w:cs="Arial"/>
          <w:i/>
        </w:rPr>
        <w:t xml:space="preserve"> </w:t>
      </w:r>
      <w:r w:rsidRPr="00252B6C">
        <w:rPr>
          <w:rFonts w:ascii="Arial" w:hAnsi="Arial" w:cs="Arial"/>
        </w:rPr>
        <w:t xml:space="preserve">opiate dependency. </w:t>
      </w:r>
      <w:r w:rsidR="00E21F37">
        <w:rPr>
          <w:rFonts w:ascii="Arial" w:hAnsi="Arial" w:cs="Arial"/>
        </w:rPr>
        <w:t xml:space="preserve">Relevant professional </w:t>
      </w:r>
      <w:r w:rsidRPr="00252B6C">
        <w:rPr>
          <w:rFonts w:ascii="Arial" w:hAnsi="Arial" w:cs="Arial"/>
        </w:rPr>
        <w:t>reports confirmed that the practitioner had not been able to abstain and had not asked for help when at risk of a relapse</w:t>
      </w:r>
      <w:r w:rsidR="0027125B">
        <w:rPr>
          <w:rFonts w:ascii="Arial" w:hAnsi="Arial" w:cs="Arial"/>
        </w:rPr>
        <w:t>, despite the support offered to her under the Council</w:t>
      </w:r>
      <w:r w:rsidR="002B0AB8">
        <w:rPr>
          <w:rFonts w:ascii="Arial" w:hAnsi="Arial" w:cs="Arial"/>
        </w:rPr>
        <w:t>’s</w:t>
      </w:r>
      <w:r w:rsidR="0027125B">
        <w:rPr>
          <w:rFonts w:ascii="Arial" w:hAnsi="Arial" w:cs="Arial"/>
        </w:rPr>
        <w:t xml:space="preserve"> health program</w:t>
      </w:r>
      <w:r w:rsidRPr="00252B6C">
        <w:rPr>
          <w:rFonts w:ascii="Arial" w:hAnsi="Arial" w:cs="Arial"/>
        </w:rPr>
        <w:t>. This led the Tribunal to find that the practitioner</w:t>
      </w:r>
      <w:r w:rsidR="0027125B">
        <w:rPr>
          <w:rFonts w:ascii="Arial" w:hAnsi="Arial" w:cs="Arial"/>
        </w:rPr>
        <w:t>’s impairment</w:t>
      </w:r>
      <w:r w:rsidRPr="00252B6C">
        <w:rPr>
          <w:rFonts w:ascii="Arial" w:hAnsi="Arial" w:cs="Arial"/>
        </w:rPr>
        <w:t xml:space="preserve"> </w:t>
      </w:r>
      <w:r w:rsidR="0027125B">
        <w:rPr>
          <w:rFonts w:ascii="Arial" w:hAnsi="Arial" w:cs="Arial"/>
        </w:rPr>
        <w:t xml:space="preserve">resulted in her lack of </w:t>
      </w:r>
      <w:r w:rsidRPr="00252B6C">
        <w:rPr>
          <w:rFonts w:ascii="Arial" w:hAnsi="Arial" w:cs="Arial"/>
        </w:rPr>
        <w:t>competen</w:t>
      </w:r>
      <w:r w:rsidR="00162B8A">
        <w:rPr>
          <w:rFonts w:ascii="Arial" w:hAnsi="Arial" w:cs="Arial"/>
        </w:rPr>
        <w:t>ce</w:t>
      </w:r>
      <w:r w:rsidRPr="00252B6C">
        <w:rPr>
          <w:rFonts w:ascii="Arial" w:hAnsi="Arial" w:cs="Arial"/>
        </w:rPr>
        <w:t xml:space="preserve"> to practice.</w:t>
      </w:r>
      <w:r w:rsidR="003D5883">
        <w:rPr>
          <w:rFonts w:ascii="Arial" w:hAnsi="Arial" w:cs="Arial"/>
        </w:rPr>
        <w:t xml:space="preserve"> </w:t>
      </w:r>
      <w:r w:rsidRPr="00252B6C">
        <w:rPr>
          <w:rFonts w:ascii="Arial" w:hAnsi="Arial" w:cs="Arial"/>
        </w:rPr>
        <w:t xml:space="preserve">The Tribunal expressed concern at [85] that </w:t>
      </w:r>
      <w:r w:rsidRPr="00252B6C">
        <w:rPr>
          <w:rFonts w:ascii="Arial" w:hAnsi="Arial" w:cs="Arial"/>
          <w:i/>
        </w:rPr>
        <w:t xml:space="preserve">“… the public is placed at real risk when drug dependent or otherwise impaired health practitioners do not strictly comply with protective conditions.” </w:t>
      </w:r>
    </w:p>
    <w:p w14:paraId="62C47B16" w14:textId="77777777" w:rsidR="005A5BC7" w:rsidRPr="00165BA1" w:rsidRDefault="005A5BC7" w:rsidP="009F327A">
      <w:pPr>
        <w:spacing w:after="0" w:line="240" w:lineRule="auto"/>
        <w:rPr>
          <w:rFonts w:ascii="Arial" w:hAnsi="Arial" w:cs="Arial"/>
        </w:rPr>
      </w:pPr>
    </w:p>
    <w:p w14:paraId="63FC968E" w14:textId="2BE5EAA9" w:rsidR="007E3D39" w:rsidRPr="00165BA1" w:rsidRDefault="007E3D39" w:rsidP="007E3D39">
      <w:pPr>
        <w:spacing w:after="0" w:line="240" w:lineRule="auto"/>
        <w:rPr>
          <w:rFonts w:ascii="Arial" w:hAnsi="Arial" w:cs="Arial"/>
        </w:rPr>
      </w:pPr>
      <w:r w:rsidRPr="00165BA1">
        <w:rPr>
          <w:rFonts w:ascii="Arial" w:hAnsi="Arial" w:cs="Arial"/>
        </w:rPr>
        <w:t>Importantly the Tribunal was also conscious of the overall impact of this type of matter on the regulatory system and the Council’s ability to perform its statutory functions.  Specifically the Tribunal noted at [87] that</w:t>
      </w:r>
      <w:r w:rsidR="00165BA1" w:rsidRPr="00165BA1">
        <w:rPr>
          <w:rFonts w:ascii="Arial" w:hAnsi="Arial" w:cs="Arial"/>
        </w:rPr>
        <w:t>:</w:t>
      </w:r>
      <w:r w:rsidRPr="00165BA1">
        <w:rPr>
          <w:rFonts w:ascii="Arial" w:hAnsi="Arial" w:cs="Arial"/>
        </w:rPr>
        <w:t xml:space="preserve"> </w:t>
      </w:r>
    </w:p>
    <w:p w14:paraId="6C28B0BB" w14:textId="77777777" w:rsidR="007E3D39" w:rsidRDefault="007E3D39" w:rsidP="007E3D39">
      <w:pPr>
        <w:spacing w:after="0" w:line="240" w:lineRule="auto"/>
        <w:rPr>
          <w:rFonts w:ascii="Arial" w:hAnsi="Arial" w:cs="Arial"/>
          <w:color w:val="263238"/>
        </w:rPr>
      </w:pPr>
    </w:p>
    <w:p w14:paraId="7010EC65" w14:textId="05E916FF" w:rsidR="007E3D39" w:rsidRPr="00DF5E6C" w:rsidRDefault="00165BA1" w:rsidP="007E3D39">
      <w:pPr>
        <w:spacing w:after="0" w:line="240" w:lineRule="auto"/>
        <w:ind w:left="720"/>
        <w:rPr>
          <w:rFonts w:ascii="Arial" w:hAnsi="Arial" w:cs="Arial"/>
          <w:i/>
          <w:sz w:val="21"/>
          <w:szCs w:val="21"/>
        </w:rPr>
      </w:pPr>
      <w:r w:rsidRPr="00DF5E6C">
        <w:rPr>
          <w:rFonts w:ascii="Arial" w:hAnsi="Arial" w:cs="Arial"/>
          <w:i/>
          <w:color w:val="263238"/>
          <w:sz w:val="21"/>
          <w:szCs w:val="21"/>
        </w:rPr>
        <w:t>“</w:t>
      </w:r>
      <w:r w:rsidR="007E3D39" w:rsidRPr="00DF5E6C">
        <w:rPr>
          <w:rFonts w:ascii="Arial" w:hAnsi="Arial" w:cs="Arial"/>
          <w:i/>
          <w:color w:val="263238"/>
          <w:sz w:val="21"/>
          <w:szCs w:val="21"/>
        </w:rPr>
        <w:t>The ability of the Council to support and monitor impaired practitioners to ensure that they practise safely is severely strained in a case such as this, which has extended for over four years. The Council has committed very substantial resources to trying to ensure that the practitioner could continue to practise safely, and has in effect, offered more than one ‘second chance’ based upon the practitioner’s assurance of future compliance.</w:t>
      </w:r>
      <w:r w:rsidRPr="00DF5E6C">
        <w:rPr>
          <w:rFonts w:ascii="Arial" w:hAnsi="Arial" w:cs="Arial"/>
          <w:i/>
          <w:color w:val="263238"/>
          <w:sz w:val="21"/>
          <w:szCs w:val="21"/>
        </w:rPr>
        <w:t>”</w:t>
      </w:r>
    </w:p>
    <w:p w14:paraId="7A765695" w14:textId="77777777" w:rsidR="007E3D39" w:rsidRDefault="007E3D39" w:rsidP="009F327A">
      <w:pPr>
        <w:spacing w:after="0" w:line="240" w:lineRule="auto"/>
        <w:rPr>
          <w:rFonts w:ascii="Arial" w:hAnsi="Arial" w:cs="Arial"/>
        </w:rPr>
      </w:pPr>
    </w:p>
    <w:p w14:paraId="28E49388" w14:textId="77777777" w:rsidR="007E3D39" w:rsidRDefault="007E3D39" w:rsidP="009F327A">
      <w:pPr>
        <w:spacing w:after="0" w:line="240" w:lineRule="auto"/>
        <w:rPr>
          <w:rFonts w:ascii="Arial" w:hAnsi="Arial" w:cs="Arial"/>
        </w:rPr>
      </w:pPr>
    </w:p>
    <w:p w14:paraId="26B2E744" w14:textId="5541B52E" w:rsidR="005A5BC7" w:rsidRPr="00DF5E6C" w:rsidRDefault="005A5BC7" w:rsidP="009F327A">
      <w:pPr>
        <w:spacing w:after="0" w:line="240" w:lineRule="auto"/>
        <w:rPr>
          <w:rFonts w:ascii="Arial" w:hAnsi="Arial" w:cs="Arial"/>
          <w:i/>
          <w:u w:val="single"/>
        </w:rPr>
      </w:pPr>
      <w:r w:rsidRPr="00DF5E6C">
        <w:rPr>
          <w:rFonts w:ascii="Arial" w:hAnsi="Arial" w:cs="Arial"/>
          <w:i/>
          <w:u w:val="single"/>
        </w:rPr>
        <w:lastRenderedPageBreak/>
        <w:t>Misconduct vs unprofessional conduct</w:t>
      </w:r>
    </w:p>
    <w:p w14:paraId="25F7C304" w14:textId="4194002C" w:rsidR="00D04E0A" w:rsidRDefault="00D04E0A" w:rsidP="00404125">
      <w:pPr>
        <w:spacing w:after="0" w:line="240" w:lineRule="auto"/>
        <w:rPr>
          <w:rFonts w:ascii="Arial" w:hAnsi="Arial" w:cs="Arial"/>
        </w:rPr>
      </w:pPr>
      <w:r>
        <w:rPr>
          <w:rFonts w:ascii="Arial" w:hAnsi="Arial" w:cs="Arial"/>
        </w:rPr>
        <w:t xml:space="preserve">Untypically, </w:t>
      </w:r>
      <w:r w:rsidR="007426A4">
        <w:rPr>
          <w:rFonts w:ascii="Arial" w:hAnsi="Arial" w:cs="Arial"/>
        </w:rPr>
        <w:t xml:space="preserve">the findings of misconduct </w:t>
      </w:r>
      <w:r>
        <w:rPr>
          <w:rFonts w:ascii="Arial" w:hAnsi="Arial" w:cs="Arial"/>
        </w:rPr>
        <w:t xml:space="preserve">in this case </w:t>
      </w:r>
      <w:r w:rsidR="007426A4">
        <w:rPr>
          <w:rFonts w:ascii="Arial" w:hAnsi="Arial" w:cs="Arial"/>
        </w:rPr>
        <w:t xml:space="preserve">did not flow from </w:t>
      </w:r>
      <w:r w:rsidR="007426A4" w:rsidRPr="00F41704">
        <w:rPr>
          <w:rFonts w:ascii="Arial" w:hAnsi="Arial" w:cs="Arial"/>
        </w:rPr>
        <w:t>any unethical</w:t>
      </w:r>
      <w:r w:rsidR="007426A4">
        <w:rPr>
          <w:rFonts w:ascii="Arial" w:hAnsi="Arial" w:cs="Arial"/>
        </w:rPr>
        <w:t xml:space="preserve">, dishonest or immoral behaviour. It was made based on </w:t>
      </w:r>
      <w:r w:rsidR="007426A4" w:rsidRPr="00F41704">
        <w:rPr>
          <w:rFonts w:ascii="Arial" w:hAnsi="Arial" w:cs="Arial"/>
        </w:rPr>
        <w:t xml:space="preserve">a cumulative effect of repetitive </w:t>
      </w:r>
      <w:r w:rsidR="007426A4">
        <w:rPr>
          <w:rFonts w:ascii="Arial" w:hAnsi="Arial" w:cs="Arial"/>
        </w:rPr>
        <w:t xml:space="preserve">breaches of </w:t>
      </w:r>
      <w:r w:rsidR="00E21F37">
        <w:rPr>
          <w:rFonts w:ascii="Arial" w:hAnsi="Arial" w:cs="Arial"/>
        </w:rPr>
        <w:t xml:space="preserve">the </w:t>
      </w:r>
      <w:r w:rsidR="007426A4">
        <w:rPr>
          <w:rFonts w:ascii="Arial" w:hAnsi="Arial" w:cs="Arial"/>
        </w:rPr>
        <w:t>conditions</w:t>
      </w:r>
      <w:r w:rsidR="002B0AB8">
        <w:rPr>
          <w:rFonts w:ascii="Arial" w:hAnsi="Arial" w:cs="Arial"/>
        </w:rPr>
        <w:t>. This conduct</w:t>
      </w:r>
      <w:r w:rsidR="007426A4">
        <w:rPr>
          <w:rFonts w:ascii="Arial" w:hAnsi="Arial" w:cs="Arial"/>
        </w:rPr>
        <w:t xml:space="preserve"> was seen</w:t>
      </w:r>
      <w:r w:rsidR="002B0AB8">
        <w:rPr>
          <w:rFonts w:ascii="Arial" w:hAnsi="Arial" w:cs="Arial"/>
        </w:rPr>
        <w:t xml:space="preserve"> by the Tribunal</w:t>
      </w:r>
      <w:r w:rsidR="007426A4">
        <w:rPr>
          <w:rFonts w:ascii="Arial" w:hAnsi="Arial" w:cs="Arial"/>
        </w:rPr>
        <w:t xml:space="preserve"> as </w:t>
      </w:r>
      <w:r w:rsidR="007426A4" w:rsidRPr="00F41704">
        <w:rPr>
          <w:rFonts w:ascii="Arial" w:hAnsi="Arial" w:cs="Arial"/>
        </w:rPr>
        <w:t>inherently serious</w:t>
      </w:r>
      <w:r w:rsidR="007426A4">
        <w:rPr>
          <w:rFonts w:ascii="Arial" w:hAnsi="Arial" w:cs="Arial"/>
        </w:rPr>
        <w:t xml:space="preserve"> because of</w:t>
      </w:r>
      <w:r w:rsidR="002B0AB8">
        <w:rPr>
          <w:rFonts w:ascii="Arial" w:hAnsi="Arial" w:cs="Arial"/>
        </w:rPr>
        <w:t xml:space="preserve"> its</w:t>
      </w:r>
      <w:r w:rsidR="007426A4">
        <w:rPr>
          <w:rFonts w:ascii="Arial" w:hAnsi="Arial" w:cs="Arial"/>
        </w:rPr>
        <w:t xml:space="preserve"> public health and safety implications.</w:t>
      </w:r>
      <w:r>
        <w:rPr>
          <w:rFonts w:ascii="Arial" w:hAnsi="Arial" w:cs="Arial"/>
        </w:rPr>
        <w:t xml:space="preserve"> </w:t>
      </w:r>
      <w:r w:rsidR="00C56D72">
        <w:rPr>
          <w:rFonts w:ascii="Arial" w:hAnsi="Arial" w:cs="Arial"/>
        </w:rPr>
        <w:t>The Tribunal also recognised that the repetitive nature of the non</w:t>
      </w:r>
      <w:r w:rsidR="009C3B91">
        <w:rPr>
          <w:rFonts w:ascii="Arial" w:hAnsi="Arial" w:cs="Arial"/>
        </w:rPr>
        <w:t>-</w:t>
      </w:r>
      <w:r w:rsidR="00C56D72">
        <w:rPr>
          <w:rFonts w:ascii="Arial" w:hAnsi="Arial" w:cs="Arial"/>
        </w:rPr>
        <w:t xml:space="preserve">compliances had </w:t>
      </w:r>
      <w:r w:rsidR="009C3B91">
        <w:rPr>
          <w:rFonts w:ascii="Arial" w:hAnsi="Arial" w:cs="Arial"/>
        </w:rPr>
        <w:t>burden</w:t>
      </w:r>
      <w:r w:rsidR="00165BA1">
        <w:rPr>
          <w:rFonts w:ascii="Arial" w:hAnsi="Arial" w:cs="Arial"/>
        </w:rPr>
        <w:t>ed</w:t>
      </w:r>
      <w:r w:rsidR="009C3B91">
        <w:rPr>
          <w:rFonts w:ascii="Arial" w:hAnsi="Arial" w:cs="Arial"/>
        </w:rPr>
        <w:t xml:space="preserve"> the regulator</w:t>
      </w:r>
      <w:r w:rsidR="00165BA1">
        <w:rPr>
          <w:rFonts w:ascii="Arial" w:hAnsi="Arial" w:cs="Arial"/>
        </w:rPr>
        <w:t>’</w:t>
      </w:r>
      <w:r w:rsidR="009C3B91">
        <w:rPr>
          <w:rFonts w:ascii="Arial" w:hAnsi="Arial" w:cs="Arial"/>
        </w:rPr>
        <w:t xml:space="preserve">s resources in monitoring and supporting </w:t>
      </w:r>
      <w:r w:rsidR="00165BA1">
        <w:rPr>
          <w:rFonts w:ascii="Arial" w:hAnsi="Arial" w:cs="Arial"/>
        </w:rPr>
        <w:t xml:space="preserve">the </w:t>
      </w:r>
      <w:r w:rsidR="009C3B91">
        <w:rPr>
          <w:rFonts w:ascii="Arial" w:hAnsi="Arial" w:cs="Arial"/>
        </w:rPr>
        <w:t>impaired practitioners.</w:t>
      </w:r>
    </w:p>
    <w:p w14:paraId="225E7585" w14:textId="77777777" w:rsidR="00D04E0A" w:rsidRDefault="00D04E0A" w:rsidP="00404125">
      <w:pPr>
        <w:spacing w:after="0" w:line="240" w:lineRule="auto"/>
        <w:rPr>
          <w:rFonts w:ascii="Arial" w:hAnsi="Arial" w:cs="Arial"/>
        </w:rPr>
      </w:pPr>
    </w:p>
    <w:p w14:paraId="0237D0F4" w14:textId="15CC804A" w:rsidR="00404125" w:rsidRPr="00252B6C" w:rsidRDefault="00404125" w:rsidP="00404125">
      <w:pPr>
        <w:spacing w:after="0" w:line="240" w:lineRule="auto"/>
        <w:rPr>
          <w:rFonts w:ascii="Arial" w:hAnsi="Arial" w:cs="Arial"/>
        </w:rPr>
      </w:pPr>
      <w:r w:rsidRPr="00252B6C">
        <w:rPr>
          <w:rFonts w:ascii="Arial" w:hAnsi="Arial" w:cs="Arial"/>
        </w:rPr>
        <w:t>The Tribunal looked at the contraventions ‘as a whole’ to determine if they were of ‘a sufficiently serious nature’</w:t>
      </w:r>
      <w:r w:rsidRPr="00252B6C">
        <w:rPr>
          <w:rStyle w:val="FootnoteReference"/>
          <w:rFonts w:ascii="Arial" w:hAnsi="Arial" w:cs="Arial"/>
        </w:rPr>
        <w:footnoteReference w:id="2"/>
      </w:r>
      <w:r w:rsidR="004B7815">
        <w:rPr>
          <w:rFonts w:ascii="Arial" w:hAnsi="Arial" w:cs="Arial"/>
        </w:rPr>
        <w:t xml:space="preserve"> to warrant findings of professional misconduct</w:t>
      </w:r>
      <w:r w:rsidRPr="00252B6C">
        <w:rPr>
          <w:rFonts w:ascii="Arial" w:hAnsi="Arial" w:cs="Arial"/>
        </w:rPr>
        <w:t>. The Tribunal stated at [84] that:</w:t>
      </w:r>
    </w:p>
    <w:p w14:paraId="3257D371" w14:textId="77777777" w:rsidR="00404125" w:rsidRPr="00252B6C" w:rsidRDefault="00404125" w:rsidP="00404125">
      <w:pPr>
        <w:spacing w:after="0" w:line="240" w:lineRule="auto"/>
        <w:rPr>
          <w:rFonts w:ascii="Arial" w:hAnsi="Arial" w:cs="Arial"/>
        </w:rPr>
      </w:pPr>
    </w:p>
    <w:p w14:paraId="6E5775BC" w14:textId="77777777" w:rsidR="00404125" w:rsidRPr="00DF5E6C" w:rsidRDefault="00404125" w:rsidP="00404125">
      <w:pPr>
        <w:spacing w:after="0" w:line="240" w:lineRule="auto"/>
        <w:ind w:left="720"/>
        <w:rPr>
          <w:rFonts w:ascii="Arial" w:hAnsi="Arial" w:cs="Arial"/>
          <w:sz w:val="21"/>
          <w:szCs w:val="21"/>
        </w:rPr>
      </w:pPr>
      <w:r w:rsidRPr="00DF5E6C">
        <w:rPr>
          <w:rFonts w:ascii="Arial" w:hAnsi="Arial" w:cs="Arial"/>
          <w:i/>
          <w:sz w:val="21"/>
          <w:szCs w:val="21"/>
        </w:rPr>
        <w:t>“This is not a case in which a finding of misconduct flows from a finding of unethical conduct, moral turpitude or other form of denunciation of the practitioner. Nonetheless, the Tribunal determines that the proved and admitted unprofessional conduct must cumulatively amount to professional misconduct by reason of both its repetition and inherent seriousness.”</w:t>
      </w:r>
      <w:r w:rsidRPr="00DF5E6C">
        <w:rPr>
          <w:rFonts w:ascii="Arial" w:hAnsi="Arial" w:cs="Arial"/>
          <w:sz w:val="21"/>
          <w:szCs w:val="21"/>
        </w:rPr>
        <w:t xml:space="preserve"> </w:t>
      </w:r>
    </w:p>
    <w:p w14:paraId="10DFC92B" w14:textId="77777777" w:rsidR="004B7815" w:rsidRPr="00252B6C" w:rsidRDefault="004B7815" w:rsidP="00404125">
      <w:pPr>
        <w:spacing w:after="0" w:line="240" w:lineRule="auto"/>
        <w:rPr>
          <w:rFonts w:ascii="Arial" w:hAnsi="Arial" w:cs="Arial"/>
        </w:rPr>
      </w:pPr>
    </w:p>
    <w:p w14:paraId="0D45326A" w14:textId="77777777" w:rsidR="007426A4" w:rsidRPr="00DF5E6C" w:rsidRDefault="007426A4" w:rsidP="007426A4">
      <w:pPr>
        <w:spacing w:after="0" w:line="240" w:lineRule="auto"/>
        <w:rPr>
          <w:rFonts w:ascii="Arial" w:hAnsi="Arial" w:cs="Arial"/>
          <w:i/>
          <w:u w:val="single"/>
        </w:rPr>
      </w:pPr>
      <w:r w:rsidRPr="00DF5E6C">
        <w:rPr>
          <w:rFonts w:ascii="Arial" w:hAnsi="Arial" w:cs="Arial"/>
          <w:i/>
          <w:u w:val="single"/>
        </w:rPr>
        <w:t>Significance of conditions imposed</w:t>
      </w:r>
    </w:p>
    <w:p w14:paraId="01220189" w14:textId="679C2F56" w:rsidR="007426A4" w:rsidRPr="00252B6C" w:rsidRDefault="007426A4" w:rsidP="007426A4">
      <w:pPr>
        <w:spacing w:after="0" w:line="240" w:lineRule="auto"/>
        <w:rPr>
          <w:rFonts w:ascii="Arial" w:hAnsi="Arial" w:cs="Arial"/>
        </w:rPr>
      </w:pPr>
      <w:r w:rsidRPr="00252B6C">
        <w:rPr>
          <w:rFonts w:ascii="Arial" w:hAnsi="Arial" w:cs="Arial"/>
        </w:rPr>
        <w:t>The HCCC argued that a practitioner must view conditions imposed on their registration with great seriousness because the purpose of such constraints are to ensure public</w:t>
      </w:r>
      <w:r>
        <w:rPr>
          <w:rFonts w:ascii="Arial" w:hAnsi="Arial" w:cs="Arial"/>
        </w:rPr>
        <w:t xml:space="preserve"> health and safety</w:t>
      </w:r>
      <w:r w:rsidRPr="00252B6C">
        <w:rPr>
          <w:rFonts w:ascii="Arial" w:hAnsi="Arial" w:cs="Arial"/>
        </w:rPr>
        <w:t xml:space="preserve">. The HCCC relied on </w:t>
      </w:r>
      <w:r w:rsidRPr="00252B6C">
        <w:rPr>
          <w:rFonts w:ascii="Arial" w:hAnsi="Arial" w:cs="Arial"/>
          <w:i/>
        </w:rPr>
        <w:t xml:space="preserve">Prakash v HCCC </w:t>
      </w:r>
      <w:r w:rsidRPr="00252B6C">
        <w:rPr>
          <w:rFonts w:ascii="Arial" w:hAnsi="Arial" w:cs="Arial"/>
        </w:rPr>
        <w:t>[2006] NSWCA 153</w:t>
      </w:r>
      <w:r w:rsidR="00165BA1">
        <w:rPr>
          <w:rFonts w:ascii="Arial" w:hAnsi="Arial" w:cs="Arial"/>
        </w:rPr>
        <w:t xml:space="preserve"> at [45]</w:t>
      </w:r>
      <w:r w:rsidRPr="00252B6C">
        <w:rPr>
          <w:rFonts w:ascii="Arial" w:hAnsi="Arial" w:cs="Arial"/>
        </w:rPr>
        <w:t xml:space="preserve"> where the </w:t>
      </w:r>
      <w:r>
        <w:rPr>
          <w:rFonts w:ascii="Arial" w:hAnsi="Arial" w:cs="Arial"/>
        </w:rPr>
        <w:t>C</w:t>
      </w:r>
      <w:r w:rsidRPr="00252B6C">
        <w:rPr>
          <w:rFonts w:ascii="Arial" w:hAnsi="Arial" w:cs="Arial"/>
        </w:rPr>
        <w:t xml:space="preserve">ourt of </w:t>
      </w:r>
      <w:r>
        <w:rPr>
          <w:rFonts w:ascii="Arial" w:hAnsi="Arial" w:cs="Arial"/>
        </w:rPr>
        <w:t>A</w:t>
      </w:r>
      <w:r w:rsidRPr="00252B6C">
        <w:rPr>
          <w:rFonts w:ascii="Arial" w:hAnsi="Arial" w:cs="Arial"/>
        </w:rPr>
        <w:t>ppeal stated that:</w:t>
      </w:r>
    </w:p>
    <w:p w14:paraId="10A18D9C" w14:textId="77777777" w:rsidR="007426A4" w:rsidRPr="00252B6C" w:rsidRDefault="007426A4" w:rsidP="007426A4">
      <w:pPr>
        <w:spacing w:after="0" w:line="240" w:lineRule="auto"/>
        <w:rPr>
          <w:rFonts w:ascii="Arial" w:hAnsi="Arial" w:cs="Arial"/>
        </w:rPr>
      </w:pPr>
    </w:p>
    <w:p w14:paraId="20C24CED" w14:textId="77777777" w:rsidR="007426A4" w:rsidRPr="00DF5E6C" w:rsidRDefault="007426A4" w:rsidP="007426A4">
      <w:pPr>
        <w:spacing w:after="0" w:line="240" w:lineRule="auto"/>
        <w:ind w:left="720"/>
        <w:rPr>
          <w:rFonts w:ascii="Arial" w:hAnsi="Arial" w:cs="Arial"/>
          <w:i/>
          <w:sz w:val="21"/>
          <w:szCs w:val="21"/>
        </w:rPr>
      </w:pPr>
      <w:r w:rsidRPr="00DF5E6C">
        <w:rPr>
          <w:rFonts w:ascii="Arial" w:hAnsi="Arial" w:cs="Arial"/>
          <w:sz w:val="21"/>
          <w:szCs w:val="21"/>
        </w:rPr>
        <w:t>“</w:t>
      </w:r>
      <w:r w:rsidRPr="00DF5E6C">
        <w:rPr>
          <w:rFonts w:ascii="Arial" w:hAnsi="Arial" w:cs="Arial"/>
          <w:i/>
          <w:sz w:val="21"/>
          <w:szCs w:val="21"/>
        </w:rPr>
        <w:t xml:space="preserve">Any practitioner whose registration is subject to conditions could not reasonably hold any view of those conditions other than that they must be scrupulously observed.” </w:t>
      </w:r>
    </w:p>
    <w:p w14:paraId="590DE85D" w14:textId="77777777" w:rsidR="007426A4" w:rsidRPr="00252B6C" w:rsidRDefault="007426A4" w:rsidP="007426A4">
      <w:pPr>
        <w:spacing w:after="0" w:line="240" w:lineRule="auto"/>
        <w:rPr>
          <w:rFonts w:ascii="Arial" w:hAnsi="Arial" w:cs="Arial"/>
          <w:i/>
        </w:rPr>
      </w:pPr>
    </w:p>
    <w:p w14:paraId="2E10AC01" w14:textId="43A32B8E" w:rsidR="004B7815" w:rsidRPr="00252B6C" w:rsidRDefault="006F1999" w:rsidP="004B7815">
      <w:pPr>
        <w:spacing w:after="0" w:line="240" w:lineRule="auto"/>
        <w:rPr>
          <w:rFonts w:ascii="Arial" w:hAnsi="Arial" w:cs="Arial"/>
        </w:rPr>
      </w:pPr>
      <w:r w:rsidRPr="00252B6C">
        <w:rPr>
          <w:rFonts w:ascii="Arial" w:hAnsi="Arial" w:cs="Arial"/>
        </w:rPr>
        <w:t xml:space="preserve">Ultimately, the Tribunal took the view that the practitioner’s proposed order of suspension followed by continuation of practice under more stringent conditions would be insufficient to ensure the safety and protection of the public. </w:t>
      </w:r>
      <w:r w:rsidR="00153E30">
        <w:rPr>
          <w:rFonts w:ascii="Arial" w:hAnsi="Arial" w:cs="Arial"/>
        </w:rPr>
        <w:t>It would amount to t</w:t>
      </w:r>
      <w:r w:rsidR="004B7815" w:rsidRPr="00252B6C">
        <w:rPr>
          <w:rFonts w:ascii="Arial" w:hAnsi="Arial" w:cs="Arial"/>
        </w:rPr>
        <w:t xml:space="preserve">he Tribunal applying a method that had previously failed would not accomplish </w:t>
      </w:r>
      <w:r w:rsidR="004B7815" w:rsidRPr="00252B6C">
        <w:rPr>
          <w:rFonts w:ascii="Arial" w:hAnsi="Arial" w:cs="Arial"/>
          <w:i/>
        </w:rPr>
        <w:t>“lasting change in the practitioner’s conduct”</w:t>
      </w:r>
      <w:r w:rsidR="004B7815" w:rsidRPr="00252B6C">
        <w:rPr>
          <w:rFonts w:ascii="Arial" w:hAnsi="Arial" w:cs="Arial"/>
        </w:rPr>
        <w:t>.</w:t>
      </w:r>
      <w:r w:rsidR="004B7815" w:rsidRPr="00252B6C">
        <w:rPr>
          <w:rStyle w:val="FootnoteReference"/>
          <w:rFonts w:ascii="Arial" w:hAnsi="Arial" w:cs="Arial"/>
        </w:rPr>
        <w:footnoteReference w:id="3"/>
      </w:r>
      <w:r w:rsidR="004B7815">
        <w:rPr>
          <w:rFonts w:ascii="Arial" w:hAnsi="Arial" w:cs="Arial"/>
        </w:rPr>
        <w:t xml:space="preserve"> </w:t>
      </w:r>
    </w:p>
    <w:p w14:paraId="49E2DFC8" w14:textId="77777777" w:rsidR="006F1999" w:rsidRDefault="006F1999" w:rsidP="007426A4">
      <w:pPr>
        <w:spacing w:after="0" w:line="240" w:lineRule="auto"/>
        <w:rPr>
          <w:rFonts w:ascii="Arial" w:hAnsi="Arial" w:cs="Arial"/>
        </w:rPr>
      </w:pPr>
    </w:p>
    <w:p w14:paraId="403B921B" w14:textId="788A4A9B" w:rsidR="004C3767" w:rsidRPr="00DF5E6C" w:rsidRDefault="00AB2CFD" w:rsidP="0062131C">
      <w:pPr>
        <w:spacing w:after="0" w:line="240" w:lineRule="auto"/>
        <w:rPr>
          <w:rFonts w:ascii="Arial" w:hAnsi="Arial" w:cs="Arial"/>
          <w:i/>
          <w:u w:val="single"/>
        </w:rPr>
      </w:pPr>
      <w:r w:rsidRPr="00DF5E6C">
        <w:rPr>
          <w:rFonts w:ascii="Arial" w:hAnsi="Arial" w:cs="Arial"/>
          <w:i/>
          <w:u w:val="single"/>
        </w:rPr>
        <w:t xml:space="preserve">Request for suppression order </w:t>
      </w:r>
      <w:r w:rsidR="004C3767" w:rsidRPr="00DF5E6C">
        <w:rPr>
          <w:rFonts w:ascii="Arial" w:hAnsi="Arial" w:cs="Arial"/>
          <w:i/>
          <w:u w:val="single"/>
        </w:rPr>
        <w:t xml:space="preserve"> </w:t>
      </w:r>
    </w:p>
    <w:p w14:paraId="486C5545" w14:textId="7EDC4B77" w:rsidR="00884609" w:rsidRPr="00252B6C" w:rsidRDefault="00884609" w:rsidP="0062131C">
      <w:pPr>
        <w:spacing w:after="0" w:line="240" w:lineRule="auto"/>
        <w:rPr>
          <w:rFonts w:ascii="Arial" w:hAnsi="Arial" w:cs="Arial"/>
        </w:rPr>
      </w:pPr>
      <w:r w:rsidRPr="00252B6C">
        <w:rPr>
          <w:rFonts w:ascii="Arial" w:hAnsi="Arial" w:cs="Arial"/>
        </w:rPr>
        <w:t xml:space="preserve">Regarding the practitioner’s application for suppression of her </w:t>
      </w:r>
      <w:r w:rsidR="00C56D72">
        <w:rPr>
          <w:rFonts w:ascii="Arial" w:hAnsi="Arial" w:cs="Arial"/>
        </w:rPr>
        <w:t>name</w:t>
      </w:r>
      <w:r w:rsidRPr="00252B6C">
        <w:rPr>
          <w:rFonts w:ascii="Arial" w:hAnsi="Arial" w:cs="Arial"/>
        </w:rPr>
        <w:t>, the Tribunal held a strong view about the purpose of disciplinary proceedings being one of preserving health and safety of public</w:t>
      </w:r>
      <w:r w:rsidR="002E24CF" w:rsidRPr="00252B6C">
        <w:rPr>
          <w:rFonts w:ascii="Arial" w:hAnsi="Arial" w:cs="Arial"/>
        </w:rPr>
        <w:t xml:space="preserve"> and that </w:t>
      </w:r>
      <w:r w:rsidRPr="00252B6C">
        <w:rPr>
          <w:rFonts w:ascii="Arial" w:hAnsi="Arial" w:cs="Arial"/>
        </w:rPr>
        <w:t>providing access to information about pr</w:t>
      </w:r>
      <w:r w:rsidR="002E24CF" w:rsidRPr="00252B6C">
        <w:rPr>
          <w:rFonts w:ascii="Arial" w:hAnsi="Arial" w:cs="Arial"/>
        </w:rPr>
        <w:t>oceedings enhances that protection.</w:t>
      </w:r>
      <w:r w:rsidRPr="00252B6C">
        <w:rPr>
          <w:rFonts w:ascii="Arial" w:hAnsi="Arial" w:cs="Arial"/>
        </w:rPr>
        <w:t xml:space="preserve"> The Tribunal stood firmly by this purpose as there was no evidence to suggest the practitioner would be </w:t>
      </w:r>
      <w:r w:rsidR="007718BF">
        <w:rPr>
          <w:rFonts w:ascii="Arial" w:hAnsi="Arial" w:cs="Arial"/>
        </w:rPr>
        <w:t xml:space="preserve">the </w:t>
      </w:r>
      <w:r w:rsidRPr="00252B6C">
        <w:rPr>
          <w:rFonts w:ascii="Arial" w:hAnsi="Arial" w:cs="Arial"/>
        </w:rPr>
        <w:t>subject of a heightened risk. However, it acknowledged that there would be no public interest in the disclos</w:t>
      </w:r>
      <w:r w:rsidR="002E24CF" w:rsidRPr="00252B6C">
        <w:rPr>
          <w:rFonts w:ascii="Arial" w:hAnsi="Arial" w:cs="Arial"/>
        </w:rPr>
        <w:t>ure</w:t>
      </w:r>
      <w:r w:rsidRPr="00252B6C">
        <w:rPr>
          <w:rFonts w:ascii="Arial" w:hAnsi="Arial" w:cs="Arial"/>
        </w:rPr>
        <w:t xml:space="preserve"> of personal </w:t>
      </w:r>
      <w:r w:rsidR="0050033E">
        <w:rPr>
          <w:rFonts w:ascii="Arial" w:hAnsi="Arial" w:cs="Arial"/>
        </w:rPr>
        <w:t xml:space="preserve">and health </w:t>
      </w:r>
      <w:r w:rsidRPr="00252B6C">
        <w:rPr>
          <w:rFonts w:ascii="Arial" w:hAnsi="Arial" w:cs="Arial"/>
        </w:rPr>
        <w:t xml:space="preserve">information </w:t>
      </w:r>
      <w:r w:rsidR="0050033E">
        <w:rPr>
          <w:rFonts w:ascii="Arial" w:hAnsi="Arial" w:cs="Arial"/>
        </w:rPr>
        <w:t xml:space="preserve">previously disclosed during regulatory processes </w:t>
      </w:r>
      <w:r w:rsidRPr="00252B6C">
        <w:rPr>
          <w:rFonts w:ascii="Arial" w:hAnsi="Arial" w:cs="Arial"/>
        </w:rPr>
        <w:t xml:space="preserve">and made relevant protective orders to ensure </w:t>
      </w:r>
      <w:r w:rsidR="0050033E">
        <w:rPr>
          <w:rFonts w:ascii="Arial" w:hAnsi="Arial" w:cs="Arial"/>
        </w:rPr>
        <w:t>the file</w:t>
      </w:r>
      <w:r w:rsidR="0092495B" w:rsidRPr="00252B6C">
        <w:rPr>
          <w:rFonts w:ascii="Arial" w:hAnsi="Arial" w:cs="Arial"/>
        </w:rPr>
        <w:t xml:space="preserve"> remains </w:t>
      </w:r>
      <w:r w:rsidR="0050033E">
        <w:rPr>
          <w:rFonts w:ascii="Arial" w:hAnsi="Arial" w:cs="Arial"/>
        </w:rPr>
        <w:t>inaccessible to the public</w:t>
      </w:r>
      <w:r w:rsidRPr="00252B6C">
        <w:rPr>
          <w:rFonts w:ascii="Arial" w:hAnsi="Arial" w:cs="Arial"/>
        </w:rPr>
        <w:t xml:space="preserve">. </w:t>
      </w:r>
    </w:p>
    <w:p w14:paraId="397DDB8D" w14:textId="77777777" w:rsidR="00404125" w:rsidRPr="00252B6C" w:rsidRDefault="00404125" w:rsidP="0062131C">
      <w:pPr>
        <w:spacing w:after="0" w:line="240" w:lineRule="auto"/>
        <w:rPr>
          <w:rFonts w:ascii="Arial" w:hAnsi="Arial" w:cs="Arial"/>
        </w:rPr>
      </w:pPr>
    </w:p>
    <w:p w14:paraId="298E204C" w14:textId="77777777" w:rsidR="008C4097" w:rsidRDefault="00A63E9F" w:rsidP="0062131C">
      <w:pPr>
        <w:spacing w:after="0" w:line="240" w:lineRule="auto"/>
        <w:rPr>
          <w:rFonts w:ascii="Arial" w:hAnsi="Arial" w:cs="Arial"/>
          <w:b/>
        </w:rPr>
      </w:pPr>
      <w:r w:rsidRPr="00261468">
        <w:rPr>
          <w:rFonts w:ascii="Arial" w:hAnsi="Arial" w:cs="Arial"/>
          <w:b/>
        </w:rPr>
        <w:t>Conclusion</w:t>
      </w:r>
    </w:p>
    <w:p w14:paraId="4F478F25" w14:textId="77777777" w:rsidR="006F1999" w:rsidRDefault="006F1999" w:rsidP="0062131C">
      <w:pPr>
        <w:spacing w:after="0" w:line="240" w:lineRule="auto"/>
        <w:rPr>
          <w:rFonts w:ascii="Arial" w:hAnsi="Arial" w:cs="Arial"/>
          <w:b/>
        </w:rPr>
      </w:pPr>
    </w:p>
    <w:p w14:paraId="71A31F1C" w14:textId="31986B51" w:rsidR="00E21F37" w:rsidRDefault="006F1999" w:rsidP="0062131C">
      <w:pPr>
        <w:spacing w:after="0" w:line="240" w:lineRule="auto"/>
        <w:rPr>
          <w:rFonts w:ascii="Arial" w:hAnsi="Arial" w:cs="Arial"/>
        </w:rPr>
      </w:pPr>
      <w:r>
        <w:rPr>
          <w:rFonts w:ascii="Arial" w:hAnsi="Arial" w:cs="Arial"/>
        </w:rPr>
        <w:t xml:space="preserve">The Tribunal’s findings underline </w:t>
      </w:r>
      <w:r w:rsidR="00190B34">
        <w:rPr>
          <w:rFonts w:ascii="Arial" w:hAnsi="Arial" w:cs="Arial"/>
        </w:rPr>
        <w:t xml:space="preserve">that </w:t>
      </w:r>
      <w:r>
        <w:rPr>
          <w:rFonts w:ascii="Arial" w:hAnsi="Arial" w:cs="Arial"/>
        </w:rPr>
        <w:t>compliance with health conditions must be viewed</w:t>
      </w:r>
      <w:r w:rsidR="00190B34">
        <w:rPr>
          <w:rFonts w:ascii="Arial" w:hAnsi="Arial" w:cs="Arial"/>
        </w:rPr>
        <w:t xml:space="preserve"> very seriously</w:t>
      </w:r>
      <w:r>
        <w:rPr>
          <w:rFonts w:ascii="Arial" w:hAnsi="Arial" w:cs="Arial"/>
        </w:rPr>
        <w:t>. The decision places emphasis on the importance of preserving public health and safety</w:t>
      </w:r>
      <w:r w:rsidR="00D433A2">
        <w:rPr>
          <w:rFonts w:ascii="Arial" w:hAnsi="Arial" w:cs="Arial"/>
        </w:rPr>
        <w:t>,</w:t>
      </w:r>
      <w:r>
        <w:rPr>
          <w:rFonts w:ascii="Arial" w:hAnsi="Arial" w:cs="Arial"/>
        </w:rPr>
        <w:t xml:space="preserve"> where </w:t>
      </w:r>
      <w:r w:rsidR="00D95692">
        <w:rPr>
          <w:rFonts w:ascii="Arial" w:hAnsi="Arial" w:cs="Arial"/>
        </w:rPr>
        <w:t xml:space="preserve">the cancellation of </w:t>
      </w:r>
      <w:r>
        <w:rPr>
          <w:rFonts w:ascii="Arial" w:hAnsi="Arial" w:cs="Arial"/>
        </w:rPr>
        <w:t>a</w:t>
      </w:r>
      <w:r w:rsidR="00D433A2">
        <w:rPr>
          <w:rFonts w:ascii="Arial" w:hAnsi="Arial" w:cs="Arial"/>
        </w:rPr>
        <w:t>n impaired</w:t>
      </w:r>
      <w:r>
        <w:rPr>
          <w:rFonts w:ascii="Arial" w:hAnsi="Arial" w:cs="Arial"/>
        </w:rPr>
        <w:t xml:space="preserve"> practitioner</w:t>
      </w:r>
      <w:r w:rsidR="00D433A2">
        <w:rPr>
          <w:rFonts w:ascii="Arial" w:hAnsi="Arial" w:cs="Arial"/>
        </w:rPr>
        <w:t xml:space="preserve">’s registration was </w:t>
      </w:r>
      <w:r w:rsidR="00D95692">
        <w:rPr>
          <w:rFonts w:ascii="Arial" w:hAnsi="Arial" w:cs="Arial"/>
        </w:rPr>
        <w:t xml:space="preserve">seen as appropriate without </w:t>
      </w:r>
      <w:r w:rsidR="00D433A2">
        <w:rPr>
          <w:rFonts w:ascii="Arial" w:hAnsi="Arial" w:cs="Arial"/>
        </w:rPr>
        <w:t>findings of</w:t>
      </w:r>
      <w:r>
        <w:rPr>
          <w:rFonts w:ascii="Arial" w:hAnsi="Arial" w:cs="Arial"/>
        </w:rPr>
        <w:t xml:space="preserve"> </w:t>
      </w:r>
      <w:r w:rsidR="00D04E0A" w:rsidRPr="00F41704">
        <w:rPr>
          <w:rFonts w:ascii="Arial" w:hAnsi="Arial" w:cs="Arial"/>
        </w:rPr>
        <w:t>any unethical</w:t>
      </w:r>
      <w:r w:rsidR="00D04E0A">
        <w:rPr>
          <w:rFonts w:ascii="Arial" w:hAnsi="Arial" w:cs="Arial"/>
        </w:rPr>
        <w:t xml:space="preserve"> or dishonest behaviour.</w:t>
      </w:r>
      <w:r w:rsidR="008424A8">
        <w:rPr>
          <w:rFonts w:ascii="Arial" w:hAnsi="Arial" w:cs="Arial"/>
        </w:rPr>
        <w:t xml:space="preserve"> </w:t>
      </w:r>
    </w:p>
    <w:p w14:paraId="41C8E325" w14:textId="77777777" w:rsidR="00E21F37" w:rsidRDefault="00E21F37" w:rsidP="0062131C">
      <w:pPr>
        <w:spacing w:after="0" w:line="240" w:lineRule="auto"/>
        <w:rPr>
          <w:rFonts w:ascii="Arial" w:hAnsi="Arial" w:cs="Arial"/>
        </w:rPr>
      </w:pPr>
    </w:p>
    <w:p w14:paraId="3FA3F357" w14:textId="43B4CCFD" w:rsidR="00D95692" w:rsidRDefault="008424A8" w:rsidP="0062131C">
      <w:pPr>
        <w:spacing w:after="0" w:line="240" w:lineRule="auto"/>
        <w:rPr>
          <w:rFonts w:ascii="Arial" w:hAnsi="Arial" w:cs="Arial"/>
        </w:rPr>
      </w:pPr>
      <w:r>
        <w:rPr>
          <w:rFonts w:ascii="Arial" w:hAnsi="Arial" w:cs="Arial"/>
        </w:rPr>
        <w:lastRenderedPageBreak/>
        <w:t xml:space="preserve">In </w:t>
      </w:r>
      <w:r w:rsidR="00E21EA2">
        <w:rPr>
          <w:rFonts w:ascii="Arial" w:hAnsi="Arial" w:cs="Arial"/>
        </w:rPr>
        <w:t xml:space="preserve">the context of </w:t>
      </w:r>
      <w:r>
        <w:rPr>
          <w:rFonts w:ascii="Arial" w:hAnsi="Arial" w:cs="Arial"/>
        </w:rPr>
        <w:t>this case</w:t>
      </w:r>
      <w:r w:rsidR="00E21F37">
        <w:rPr>
          <w:rFonts w:ascii="Arial" w:hAnsi="Arial" w:cs="Arial"/>
        </w:rPr>
        <w:t xml:space="preserve"> the Tribunal acknowledged</w:t>
      </w:r>
      <w:r w:rsidR="00190B34">
        <w:rPr>
          <w:rFonts w:ascii="Arial" w:hAnsi="Arial" w:cs="Arial"/>
        </w:rPr>
        <w:t xml:space="preserve"> </w:t>
      </w:r>
      <w:r w:rsidR="00E21F37">
        <w:rPr>
          <w:rFonts w:ascii="Arial" w:hAnsi="Arial" w:cs="Arial"/>
        </w:rPr>
        <w:t>that</w:t>
      </w:r>
      <w:r w:rsidR="00D95692">
        <w:rPr>
          <w:rFonts w:ascii="Arial" w:hAnsi="Arial" w:cs="Arial"/>
        </w:rPr>
        <w:t>:</w:t>
      </w:r>
    </w:p>
    <w:p w14:paraId="430DED46" w14:textId="77777777" w:rsidR="00D95692" w:rsidRDefault="00D95692" w:rsidP="00D95692">
      <w:pPr>
        <w:spacing w:after="0" w:line="240" w:lineRule="auto"/>
        <w:rPr>
          <w:rFonts w:ascii="Arial" w:hAnsi="Arial" w:cs="Arial"/>
        </w:rPr>
      </w:pPr>
    </w:p>
    <w:p w14:paraId="3BF531A1" w14:textId="2553D191" w:rsidR="00D95692" w:rsidRDefault="008424A8" w:rsidP="00190B34">
      <w:pPr>
        <w:pStyle w:val="ListParagraph"/>
        <w:numPr>
          <w:ilvl w:val="0"/>
          <w:numId w:val="3"/>
        </w:numPr>
        <w:spacing w:after="0" w:line="240" w:lineRule="auto"/>
        <w:rPr>
          <w:rFonts w:ascii="Arial" w:hAnsi="Arial" w:cs="Arial"/>
        </w:rPr>
      </w:pPr>
      <w:r w:rsidRPr="00190B34">
        <w:rPr>
          <w:rFonts w:ascii="Arial" w:hAnsi="Arial" w:cs="Arial"/>
        </w:rPr>
        <w:t>the practitioner was struggling to overcome her addiction and making a genuine attempt to comply with her conditions</w:t>
      </w:r>
      <w:r w:rsidR="00E21F37" w:rsidRPr="00190B34">
        <w:rPr>
          <w:rFonts w:ascii="Arial" w:hAnsi="Arial" w:cs="Arial"/>
        </w:rPr>
        <w:t xml:space="preserve">; </w:t>
      </w:r>
    </w:p>
    <w:p w14:paraId="1CF88BD1" w14:textId="5A63198E" w:rsidR="00D95692" w:rsidRDefault="000E05B4" w:rsidP="00190B34">
      <w:pPr>
        <w:pStyle w:val="ListParagraph"/>
        <w:numPr>
          <w:ilvl w:val="0"/>
          <w:numId w:val="3"/>
        </w:numPr>
        <w:spacing w:after="0" w:line="240" w:lineRule="auto"/>
        <w:rPr>
          <w:rFonts w:ascii="Arial" w:hAnsi="Arial" w:cs="Arial"/>
        </w:rPr>
      </w:pPr>
      <w:r>
        <w:rPr>
          <w:rFonts w:ascii="Arial" w:hAnsi="Arial" w:cs="Arial"/>
        </w:rPr>
        <w:t xml:space="preserve">the breaches were linked to the practitioner’s </w:t>
      </w:r>
      <w:r w:rsidR="008424A8" w:rsidRPr="00190B34">
        <w:rPr>
          <w:rFonts w:ascii="Arial" w:hAnsi="Arial" w:cs="Arial"/>
        </w:rPr>
        <w:t xml:space="preserve">family and financial </w:t>
      </w:r>
      <w:r>
        <w:rPr>
          <w:rFonts w:ascii="Arial" w:hAnsi="Arial" w:cs="Arial"/>
        </w:rPr>
        <w:t>circumstances</w:t>
      </w:r>
      <w:r w:rsidR="00E21F37" w:rsidRPr="00190B34">
        <w:rPr>
          <w:rFonts w:ascii="Arial" w:hAnsi="Arial" w:cs="Arial"/>
        </w:rPr>
        <w:t xml:space="preserve">; </w:t>
      </w:r>
      <w:r w:rsidR="00E21EA2">
        <w:rPr>
          <w:rFonts w:ascii="Arial" w:hAnsi="Arial" w:cs="Arial"/>
        </w:rPr>
        <w:t>and</w:t>
      </w:r>
    </w:p>
    <w:p w14:paraId="460C1370" w14:textId="1BB79779" w:rsidR="00D95692" w:rsidRDefault="000E05B4" w:rsidP="00190B34">
      <w:pPr>
        <w:pStyle w:val="ListParagraph"/>
        <w:numPr>
          <w:ilvl w:val="0"/>
          <w:numId w:val="3"/>
        </w:numPr>
        <w:spacing w:after="0" w:line="240" w:lineRule="auto"/>
        <w:rPr>
          <w:rFonts w:ascii="Arial" w:hAnsi="Arial" w:cs="Arial"/>
        </w:rPr>
      </w:pPr>
      <w:proofErr w:type="gramStart"/>
      <w:r>
        <w:rPr>
          <w:rFonts w:ascii="Arial" w:hAnsi="Arial" w:cs="Arial"/>
        </w:rPr>
        <w:t>the</w:t>
      </w:r>
      <w:proofErr w:type="gramEnd"/>
      <w:r>
        <w:rPr>
          <w:rFonts w:ascii="Arial" w:hAnsi="Arial" w:cs="Arial"/>
        </w:rPr>
        <w:t xml:space="preserve"> practitioner </w:t>
      </w:r>
      <w:r w:rsidR="008424A8" w:rsidRPr="00190B34">
        <w:rPr>
          <w:rFonts w:ascii="Arial" w:hAnsi="Arial" w:cs="Arial"/>
        </w:rPr>
        <w:t xml:space="preserve">had shown insight into </w:t>
      </w:r>
      <w:r>
        <w:rPr>
          <w:rFonts w:ascii="Arial" w:hAnsi="Arial" w:cs="Arial"/>
        </w:rPr>
        <w:t xml:space="preserve">the impact of </w:t>
      </w:r>
      <w:r w:rsidR="008424A8" w:rsidRPr="00190B34">
        <w:rPr>
          <w:rFonts w:ascii="Arial" w:hAnsi="Arial" w:cs="Arial"/>
        </w:rPr>
        <w:t>her impairment and personal circumstances</w:t>
      </w:r>
      <w:r>
        <w:rPr>
          <w:rFonts w:ascii="Arial" w:hAnsi="Arial" w:cs="Arial"/>
        </w:rPr>
        <w:t xml:space="preserve"> on </w:t>
      </w:r>
      <w:r w:rsidR="008424A8" w:rsidRPr="00190B34">
        <w:rPr>
          <w:rFonts w:ascii="Arial" w:hAnsi="Arial" w:cs="Arial"/>
        </w:rPr>
        <w:t xml:space="preserve">her ability to practice her profession. </w:t>
      </w:r>
    </w:p>
    <w:p w14:paraId="7954DEEF" w14:textId="77777777" w:rsidR="00D95692" w:rsidRDefault="00D95692" w:rsidP="00D95692">
      <w:pPr>
        <w:spacing w:after="0" w:line="240" w:lineRule="auto"/>
        <w:rPr>
          <w:rFonts w:ascii="Arial" w:hAnsi="Arial" w:cs="Arial"/>
        </w:rPr>
      </w:pPr>
    </w:p>
    <w:p w14:paraId="32A029A9" w14:textId="13C24223" w:rsidR="00A63E9F" w:rsidRDefault="00190B34" w:rsidP="00D95692">
      <w:pPr>
        <w:spacing w:after="0" w:line="240" w:lineRule="auto"/>
        <w:rPr>
          <w:rFonts w:ascii="Arial" w:hAnsi="Arial" w:cs="Arial"/>
        </w:rPr>
      </w:pPr>
      <w:r>
        <w:rPr>
          <w:rFonts w:ascii="Arial" w:hAnsi="Arial" w:cs="Arial"/>
        </w:rPr>
        <w:t>Nevertheless</w:t>
      </w:r>
      <w:r w:rsidR="001052E6">
        <w:rPr>
          <w:rFonts w:ascii="Arial" w:hAnsi="Arial" w:cs="Arial"/>
        </w:rPr>
        <w:t xml:space="preserve">, </w:t>
      </w:r>
      <w:r w:rsidR="00E21EA2">
        <w:rPr>
          <w:rFonts w:ascii="Arial" w:hAnsi="Arial" w:cs="Arial"/>
        </w:rPr>
        <w:t xml:space="preserve">when balanced against </w:t>
      </w:r>
      <w:r w:rsidR="008424A8" w:rsidRPr="00190B34">
        <w:rPr>
          <w:rFonts w:ascii="Arial" w:hAnsi="Arial" w:cs="Arial"/>
        </w:rPr>
        <w:t xml:space="preserve">the seriousness </w:t>
      </w:r>
      <w:r w:rsidR="00E21F37" w:rsidRPr="00190B34">
        <w:rPr>
          <w:rFonts w:ascii="Arial" w:hAnsi="Arial" w:cs="Arial"/>
        </w:rPr>
        <w:t xml:space="preserve">of her </w:t>
      </w:r>
      <w:r w:rsidR="001052E6">
        <w:rPr>
          <w:rFonts w:ascii="Arial" w:hAnsi="Arial" w:cs="Arial"/>
        </w:rPr>
        <w:t>conduct</w:t>
      </w:r>
      <w:r w:rsidR="00E21EA2">
        <w:rPr>
          <w:rFonts w:ascii="Arial" w:hAnsi="Arial" w:cs="Arial"/>
        </w:rPr>
        <w:t xml:space="preserve">, </w:t>
      </w:r>
      <w:r w:rsidR="000E05B4">
        <w:rPr>
          <w:rFonts w:ascii="Arial" w:hAnsi="Arial" w:cs="Arial"/>
        </w:rPr>
        <w:t xml:space="preserve">the Tribunal found </w:t>
      </w:r>
      <w:r>
        <w:rPr>
          <w:rFonts w:ascii="Arial" w:hAnsi="Arial" w:cs="Arial"/>
        </w:rPr>
        <w:t xml:space="preserve">that it was in the public interest to maintain </w:t>
      </w:r>
      <w:r w:rsidR="008424A8" w:rsidRPr="00190B34">
        <w:rPr>
          <w:rFonts w:ascii="Arial" w:hAnsi="Arial" w:cs="Arial"/>
        </w:rPr>
        <w:t>professional standards and signal</w:t>
      </w:r>
      <w:r>
        <w:rPr>
          <w:rFonts w:ascii="Arial" w:hAnsi="Arial" w:cs="Arial"/>
        </w:rPr>
        <w:t xml:space="preserve"> </w:t>
      </w:r>
      <w:r w:rsidR="008424A8" w:rsidRPr="00190B34">
        <w:rPr>
          <w:rFonts w:ascii="Arial" w:hAnsi="Arial" w:cs="Arial"/>
        </w:rPr>
        <w:t xml:space="preserve">disapproval </w:t>
      </w:r>
      <w:r w:rsidR="001052E6">
        <w:rPr>
          <w:rFonts w:ascii="Arial" w:hAnsi="Arial" w:cs="Arial"/>
        </w:rPr>
        <w:t xml:space="preserve">for </w:t>
      </w:r>
      <w:r w:rsidR="008424A8" w:rsidRPr="00190B34">
        <w:rPr>
          <w:rFonts w:ascii="Arial" w:hAnsi="Arial" w:cs="Arial"/>
        </w:rPr>
        <w:t xml:space="preserve">repeated </w:t>
      </w:r>
      <w:r w:rsidR="007E3D39" w:rsidRPr="00190B34">
        <w:rPr>
          <w:rFonts w:ascii="Arial" w:hAnsi="Arial" w:cs="Arial"/>
        </w:rPr>
        <w:t>breach</w:t>
      </w:r>
      <w:r w:rsidR="001052E6">
        <w:rPr>
          <w:rFonts w:ascii="Arial" w:hAnsi="Arial" w:cs="Arial"/>
        </w:rPr>
        <w:t>es</w:t>
      </w:r>
      <w:r w:rsidR="007E3D39" w:rsidRPr="00190B34">
        <w:rPr>
          <w:rFonts w:ascii="Arial" w:hAnsi="Arial" w:cs="Arial"/>
        </w:rPr>
        <w:t xml:space="preserve"> of conditions.  </w:t>
      </w:r>
    </w:p>
    <w:p w14:paraId="2B45D486" w14:textId="77777777" w:rsidR="007E3D39" w:rsidRDefault="007E3D39" w:rsidP="0062131C">
      <w:pPr>
        <w:spacing w:after="0" w:line="240" w:lineRule="auto"/>
        <w:rPr>
          <w:rFonts w:ascii="Arial" w:hAnsi="Arial" w:cs="Arial"/>
        </w:rPr>
      </w:pPr>
    </w:p>
    <w:p w14:paraId="2C3BBF84" w14:textId="271E1802" w:rsidR="007E3D39" w:rsidRDefault="007E3D39" w:rsidP="0062131C">
      <w:pPr>
        <w:spacing w:after="0" w:line="240" w:lineRule="auto"/>
        <w:rPr>
          <w:rFonts w:ascii="Arial" w:hAnsi="Arial" w:cs="Arial"/>
        </w:rPr>
      </w:pPr>
      <w:r>
        <w:rPr>
          <w:rFonts w:ascii="Arial" w:hAnsi="Arial" w:cs="Arial"/>
        </w:rPr>
        <w:t>The Tribunal’s comments at paragraph [87]</w:t>
      </w:r>
      <w:r w:rsidR="000E05B4">
        <w:rPr>
          <w:rFonts w:ascii="Arial" w:hAnsi="Arial" w:cs="Arial"/>
        </w:rPr>
        <w:t>,</w:t>
      </w:r>
      <w:r>
        <w:rPr>
          <w:rFonts w:ascii="Arial" w:hAnsi="Arial" w:cs="Arial"/>
        </w:rPr>
        <w:t xml:space="preserve"> about the </w:t>
      </w:r>
      <w:r w:rsidR="000E05B4">
        <w:rPr>
          <w:rFonts w:ascii="Arial" w:hAnsi="Arial" w:cs="Arial"/>
        </w:rPr>
        <w:t xml:space="preserve">adverse effect </w:t>
      </w:r>
      <w:r>
        <w:rPr>
          <w:rFonts w:ascii="Arial" w:hAnsi="Arial" w:cs="Arial"/>
        </w:rPr>
        <w:t>on public resources</w:t>
      </w:r>
      <w:r w:rsidR="00190B34">
        <w:rPr>
          <w:rFonts w:ascii="Arial" w:hAnsi="Arial" w:cs="Arial"/>
        </w:rPr>
        <w:t xml:space="preserve"> of</w:t>
      </w:r>
      <w:r>
        <w:rPr>
          <w:rFonts w:ascii="Arial" w:hAnsi="Arial" w:cs="Arial"/>
        </w:rPr>
        <w:t xml:space="preserve"> multiple “second chances”</w:t>
      </w:r>
      <w:r w:rsidR="000E05B4">
        <w:rPr>
          <w:rFonts w:ascii="Arial" w:hAnsi="Arial" w:cs="Arial"/>
        </w:rPr>
        <w:t>,</w:t>
      </w:r>
      <w:r>
        <w:rPr>
          <w:rFonts w:ascii="Arial" w:hAnsi="Arial" w:cs="Arial"/>
        </w:rPr>
        <w:t xml:space="preserve"> sen</w:t>
      </w:r>
      <w:r w:rsidR="00230016">
        <w:rPr>
          <w:rFonts w:ascii="Arial" w:hAnsi="Arial" w:cs="Arial"/>
        </w:rPr>
        <w:t>ds</w:t>
      </w:r>
      <w:r w:rsidR="00190B34">
        <w:rPr>
          <w:rFonts w:ascii="Arial" w:hAnsi="Arial" w:cs="Arial"/>
        </w:rPr>
        <w:t xml:space="preserve"> </w:t>
      </w:r>
      <w:r>
        <w:rPr>
          <w:rFonts w:ascii="Arial" w:hAnsi="Arial" w:cs="Arial"/>
        </w:rPr>
        <w:t xml:space="preserve">a strong message to both regulators and practitioners. </w:t>
      </w:r>
    </w:p>
    <w:p w14:paraId="73410BFA" w14:textId="77777777" w:rsidR="00B20D5E" w:rsidRDefault="00B20D5E" w:rsidP="0062131C">
      <w:pPr>
        <w:spacing w:after="0" w:line="240" w:lineRule="auto"/>
        <w:rPr>
          <w:rFonts w:ascii="Arial" w:hAnsi="Arial" w:cs="Arial"/>
        </w:rPr>
      </w:pPr>
    </w:p>
    <w:p w14:paraId="21755A87" w14:textId="3DCFB434" w:rsidR="00B20D5E" w:rsidRDefault="0000411C" w:rsidP="0062131C">
      <w:pPr>
        <w:spacing w:after="0" w:line="240" w:lineRule="auto"/>
        <w:rPr>
          <w:rFonts w:ascii="Arial" w:hAnsi="Arial" w:cs="Arial"/>
        </w:rPr>
      </w:pPr>
      <w:r>
        <w:rPr>
          <w:rFonts w:ascii="Arial" w:hAnsi="Arial" w:cs="Arial"/>
        </w:rPr>
        <w:t>The full text of the decision can be found at:</w:t>
      </w:r>
    </w:p>
    <w:p w14:paraId="469C3F9C" w14:textId="77777777" w:rsidR="00B20D5E" w:rsidRDefault="00A81F12" w:rsidP="00B20D5E">
      <w:pPr>
        <w:spacing w:after="0" w:line="240" w:lineRule="auto"/>
        <w:rPr>
          <w:rFonts w:ascii="Arial" w:hAnsi="Arial" w:cs="Arial"/>
        </w:rPr>
      </w:pPr>
      <w:hyperlink r:id="rId8" w:history="1">
        <w:r w:rsidR="00B20D5E" w:rsidRPr="008A237E">
          <w:rPr>
            <w:rStyle w:val="Hyperlink"/>
            <w:rFonts w:ascii="Arial" w:hAnsi="Arial" w:cs="Arial"/>
          </w:rPr>
          <w:t>https://www.caselaw.nsw.gov.au/decision/5bbd3089e4b0b9ab40210228</w:t>
        </w:r>
      </w:hyperlink>
    </w:p>
    <w:p w14:paraId="47A06FCC" w14:textId="77777777" w:rsidR="00781266" w:rsidRPr="00252B6C" w:rsidRDefault="00781266" w:rsidP="0062131C">
      <w:pPr>
        <w:spacing w:after="0" w:line="240" w:lineRule="auto"/>
        <w:rPr>
          <w:rFonts w:ascii="Arial" w:hAnsi="Arial" w:cs="Arial"/>
        </w:rPr>
      </w:pPr>
    </w:p>
    <w:sectPr w:rsidR="00781266" w:rsidRPr="00252B6C" w:rsidSect="00162B8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559CD" w14:textId="77777777" w:rsidR="00A81F12" w:rsidRDefault="00A81F12" w:rsidP="00980265">
      <w:pPr>
        <w:spacing w:after="0" w:line="240" w:lineRule="auto"/>
      </w:pPr>
      <w:r>
        <w:separator/>
      </w:r>
    </w:p>
  </w:endnote>
  <w:endnote w:type="continuationSeparator" w:id="0">
    <w:p w14:paraId="096F6BDC" w14:textId="77777777" w:rsidR="00A81F12" w:rsidRDefault="00A81F12" w:rsidP="0098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F6C2B" w14:textId="77777777" w:rsidR="00E339AA" w:rsidRDefault="00E339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19683" w14:textId="77777777" w:rsidR="003D5883" w:rsidRDefault="003D5883" w:rsidP="003D5883">
    <w:pPr>
      <w:pStyle w:val="Default"/>
      <w:rPr>
        <w:b/>
        <w:bCs/>
        <w:sz w:val="18"/>
        <w:szCs w:val="18"/>
      </w:rPr>
    </w:pPr>
  </w:p>
  <w:p w14:paraId="1CE7FB3B" w14:textId="77777777" w:rsidR="003D5883" w:rsidRDefault="003D5883" w:rsidP="003D5883">
    <w:pPr>
      <w:pStyle w:val="Default"/>
      <w:rPr>
        <w:b/>
        <w:bCs/>
        <w:sz w:val="18"/>
        <w:szCs w:val="18"/>
      </w:rPr>
    </w:pPr>
  </w:p>
  <w:p w14:paraId="7B42F6DC" w14:textId="4EA51CDD" w:rsidR="003D5883" w:rsidRDefault="003D5883" w:rsidP="003D5883">
    <w:pPr>
      <w:pStyle w:val="Default"/>
      <w:rPr>
        <w:sz w:val="18"/>
        <w:szCs w:val="18"/>
      </w:rPr>
    </w:pPr>
    <w:r w:rsidRPr="00D433A2">
      <w:rPr>
        <w:b/>
        <w:bCs/>
        <w:sz w:val="18"/>
        <w:szCs w:val="18"/>
      </w:rPr>
      <w:t xml:space="preserve">NOTE: </w:t>
    </w:r>
    <w:r w:rsidRPr="00D433A2">
      <w:rPr>
        <w:sz w:val="18"/>
        <w:szCs w:val="18"/>
      </w:rPr>
      <w:t xml:space="preserve">This HPCA </w:t>
    </w:r>
    <w:r w:rsidRPr="00D433A2">
      <w:rPr>
        <w:i/>
        <w:iCs/>
        <w:sz w:val="18"/>
        <w:szCs w:val="18"/>
      </w:rPr>
      <w:t xml:space="preserve">Legal Case Note </w:t>
    </w:r>
    <w:r w:rsidRPr="00D433A2">
      <w:rPr>
        <w:sz w:val="18"/>
        <w:szCs w:val="18"/>
      </w:rPr>
      <w:t>(Our Ref.: HP</w:t>
    </w:r>
    <w:r w:rsidR="00D433A2" w:rsidRPr="00D433A2">
      <w:rPr>
        <w:sz w:val="18"/>
        <w:szCs w:val="18"/>
      </w:rPr>
      <w:t>19/9570</w:t>
    </w:r>
    <w:r w:rsidRPr="00D433A2">
      <w:rPr>
        <w:sz w:val="18"/>
        <w:szCs w:val="18"/>
      </w:rPr>
      <w:t>) has been</w:t>
    </w:r>
    <w:r>
      <w:rPr>
        <w:sz w:val="18"/>
        <w:szCs w:val="18"/>
      </w:rPr>
      <w:t xml:space="preserve"> prepared by legal staff of the Health Professional Councils Authority. The content of the Case Note is for information only and does not constitute legal advice. Appropriate legal advice relevant to your own circumstances should be obtained before taking any action on the basis of the information contained in this document.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EB0C8" w14:textId="77777777" w:rsidR="00E339AA" w:rsidRDefault="00E33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DD783" w14:textId="77777777" w:rsidR="00A81F12" w:rsidRDefault="00A81F12" w:rsidP="00980265">
      <w:pPr>
        <w:spacing w:after="0" w:line="240" w:lineRule="auto"/>
      </w:pPr>
      <w:r>
        <w:separator/>
      </w:r>
    </w:p>
  </w:footnote>
  <w:footnote w:type="continuationSeparator" w:id="0">
    <w:p w14:paraId="0311758A" w14:textId="77777777" w:rsidR="00A81F12" w:rsidRDefault="00A81F12" w:rsidP="00980265">
      <w:pPr>
        <w:spacing w:after="0" w:line="240" w:lineRule="auto"/>
      </w:pPr>
      <w:r>
        <w:continuationSeparator/>
      </w:r>
    </w:p>
  </w:footnote>
  <w:footnote w:id="1">
    <w:p w14:paraId="7C30A2DD" w14:textId="77777777" w:rsidR="007426A4" w:rsidRPr="002069A3" w:rsidRDefault="007426A4" w:rsidP="007426A4">
      <w:pPr>
        <w:pStyle w:val="FootnoteText"/>
        <w:rPr>
          <w:rFonts w:ascii="Arial" w:hAnsi="Arial" w:cs="Arial"/>
        </w:rPr>
      </w:pPr>
      <w:r w:rsidRPr="002069A3">
        <w:rPr>
          <w:rStyle w:val="FootnoteReference"/>
          <w:rFonts w:ascii="Arial" w:hAnsi="Arial" w:cs="Arial"/>
        </w:rPr>
        <w:footnoteRef/>
      </w:r>
      <w:r w:rsidRPr="002069A3">
        <w:rPr>
          <w:rFonts w:ascii="Arial" w:hAnsi="Arial" w:cs="Arial"/>
        </w:rPr>
        <w:t xml:space="preserve"> See [88]</w:t>
      </w:r>
    </w:p>
  </w:footnote>
  <w:footnote w:id="2">
    <w:p w14:paraId="07F98355" w14:textId="77777777" w:rsidR="00404125" w:rsidRPr="00184BEC" w:rsidRDefault="00404125" w:rsidP="00404125">
      <w:pPr>
        <w:pStyle w:val="FootnoteText"/>
        <w:rPr>
          <w:rFonts w:ascii="Arial" w:hAnsi="Arial" w:cs="Arial"/>
        </w:rPr>
      </w:pPr>
      <w:r w:rsidRPr="00184BEC">
        <w:rPr>
          <w:rStyle w:val="FootnoteReference"/>
          <w:rFonts w:ascii="Arial" w:hAnsi="Arial" w:cs="Arial"/>
        </w:rPr>
        <w:footnoteRef/>
      </w:r>
      <w:r w:rsidRPr="00184BEC">
        <w:rPr>
          <w:rFonts w:ascii="Arial" w:hAnsi="Arial" w:cs="Arial"/>
        </w:rPr>
        <w:t xml:space="preserve"> </w:t>
      </w:r>
      <w:r w:rsidRPr="00184BEC">
        <w:rPr>
          <w:rFonts w:ascii="Arial" w:hAnsi="Arial" w:cs="Arial"/>
          <w:i/>
        </w:rPr>
        <w:t xml:space="preserve">HCCC v </w:t>
      </w:r>
      <w:proofErr w:type="spellStart"/>
      <w:r w:rsidRPr="00184BEC">
        <w:rPr>
          <w:rFonts w:ascii="Arial" w:hAnsi="Arial" w:cs="Arial"/>
          <w:i/>
        </w:rPr>
        <w:t>Perroux</w:t>
      </w:r>
      <w:proofErr w:type="spellEnd"/>
      <w:r w:rsidRPr="00184BEC">
        <w:rPr>
          <w:rFonts w:ascii="Arial" w:hAnsi="Arial" w:cs="Arial"/>
          <w:i/>
        </w:rPr>
        <w:t xml:space="preserve"> </w:t>
      </w:r>
      <w:r w:rsidRPr="00184BEC">
        <w:rPr>
          <w:rFonts w:ascii="Arial" w:hAnsi="Arial" w:cs="Arial"/>
        </w:rPr>
        <w:t>[2011] NSWDC 99 at [18]</w:t>
      </w:r>
    </w:p>
  </w:footnote>
  <w:footnote w:id="3">
    <w:p w14:paraId="50A37F0D" w14:textId="77777777" w:rsidR="004B7815" w:rsidRPr="004614A5" w:rsidRDefault="004B7815" w:rsidP="004B7815">
      <w:pPr>
        <w:pStyle w:val="FootnoteText"/>
        <w:rPr>
          <w:rFonts w:ascii="Arial" w:hAnsi="Arial" w:cs="Arial"/>
        </w:rPr>
      </w:pPr>
      <w:r w:rsidRPr="004614A5">
        <w:rPr>
          <w:rStyle w:val="FootnoteReference"/>
          <w:rFonts w:ascii="Arial" w:hAnsi="Arial" w:cs="Arial"/>
        </w:rPr>
        <w:footnoteRef/>
      </w:r>
      <w:r w:rsidRPr="004614A5">
        <w:rPr>
          <w:rFonts w:ascii="Arial" w:hAnsi="Arial" w:cs="Arial"/>
        </w:rPr>
        <w:t xml:space="preserve"> See [92]-[94]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77123" w14:textId="3457DDFD" w:rsidR="00E339AA" w:rsidRDefault="00E339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23005" w14:textId="29EBF84C" w:rsidR="00E339AA" w:rsidRDefault="00E339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AA3AF" w14:textId="67E76D45" w:rsidR="00162B8A" w:rsidRDefault="00162B8A">
    <w:pPr>
      <w:pStyle w:val="Header"/>
    </w:pPr>
    <w:r>
      <w:rPr>
        <w:noProof/>
        <w:lang w:eastAsia="en-AU"/>
      </w:rPr>
      <w:drawing>
        <wp:inline distT="0" distB="0" distL="0" distR="0" wp14:anchorId="7FF345C2" wp14:editId="46837F29">
          <wp:extent cx="5731510" cy="1596390"/>
          <wp:effectExtent l="0" t="0" r="2540" b="381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15963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C73F6"/>
    <w:multiLevelType w:val="hybridMultilevel"/>
    <w:tmpl w:val="74EC024C"/>
    <w:lvl w:ilvl="0" w:tplc="6D0E4FD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406D14"/>
    <w:multiLevelType w:val="hybridMultilevel"/>
    <w:tmpl w:val="D8421BC4"/>
    <w:lvl w:ilvl="0" w:tplc="45DA1B6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CF2150"/>
    <w:multiLevelType w:val="hybridMultilevel"/>
    <w:tmpl w:val="88301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0196EE9-A340-47E3-B32A-F1BB6BC50CD5}"/>
    <w:docVar w:name="dgnword-eventsink" w:val="519706464"/>
  </w:docVars>
  <w:rsids>
    <w:rsidRoot w:val="00781266"/>
    <w:rsid w:val="0000411C"/>
    <w:rsid w:val="00062CF0"/>
    <w:rsid w:val="000B0060"/>
    <w:rsid w:val="000B2414"/>
    <w:rsid w:val="000E05B4"/>
    <w:rsid w:val="00100CE5"/>
    <w:rsid w:val="001052E6"/>
    <w:rsid w:val="0012094B"/>
    <w:rsid w:val="00125F7B"/>
    <w:rsid w:val="00132E08"/>
    <w:rsid w:val="00133817"/>
    <w:rsid w:val="00153E30"/>
    <w:rsid w:val="001560B8"/>
    <w:rsid w:val="00162B8A"/>
    <w:rsid w:val="00165287"/>
    <w:rsid w:val="00165BA1"/>
    <w:rsid w:val="00172E13"/>
    <w:rsid w:val="00184BEC"/>
    <w:rsid w:val="00190B34"/>
    <w:rsid w:val="00193715"/>
    <w:rsid w:val="001A6714"/>
    <w:rsid w:val="001C2465"/>
    <w:rsid w:val="002069A3"/>
    <w:rsid w:val="002102A0"/>
    <w:rsid w:val="0022718F"/>
    <w:rsid w:val="00230016"/>
    <w:rsid w:val="002327E3"/>
    <w:rsid w:val="00235666"/>
    <w:rsid w:val="002374E3"/>
    <w:rsid w:val="002437EA"/>
    <w:rsid w:val="00252241"/>
    <w:rsid w:val="00252B6C"/>
    <w:rsid w:val="00254665"/>
    <w:rsid w:val="00261468"/>
    <w:rsid w:val="0027125B"/>
    <w:rsid w:val="002833ED"/>
    <w:rsid w:val="0028413B"/>
    <w:rsid w:val="00287A43"/>
    <w:rsid w:val="00294404"/>
    <w:rsid w:val="002A280F"/>
    <w:rsid w:val="002B0AB8"/>
    <w:rsid w:val="002B3E74"/>
    <w:rsid w:val="002B66C6"/>
    <w:rsid w:val="002E24CF"/>
    <w:rsid w:val="002E2C2B"/>
    <w:rsid w:val="002E6D7D"/>
    <w:rsid w:val="0030470C"/>
    <w:rsid w:val="003134C0"/>
    <w:rsid w:val="00315C08"/>
    <w:rsid w:val="00320F8E"/>
    <w:rsid w:val="00323169"/>
    <w:rsid w:val="00333FCB"/>
    <w:rsid w:val="003426E7"/>
    <w:rsid w:val="00344E92"/>
    <w:rsid w:val="00360ECA"/>
    <w:rsid w:val="00397C49"/>
    <w:rsid w:val="003B2C63"/>
    <w:rsid w:val="003C1B75"/>
    <w:rsid w:val="003D43FA"/>
    <w:rsid w:val="003D5883"/>
    <w:rsid w:val="003F04E4"/>
    <w:rsid w:val="004016FC"/>
    <w:rsid w:val="00404125"/>
    <w:rsid w:val="0041361D"/>
    <w:rsid w:val="00434CAD"/>
    <w:rsid w:val="00436EE9"/>
    <w:rsid w:val="00453A79"/>
    <w:rsid w:val="00455B6B"/>
    <w:rsid w:val="00460A67"/>
    <w:rsid w:val="004614A5"/>
    <w:rsid w:val="00483A1F"/>
    <w:rsid w:val="0048652A"/>
    <w:rsid w:val="00487338"/>
    <w:rsid w:val="004A615A"/>
    <w:rsid w:val="004B2CEA"/>
    <w:rsid w:val="004B7815"/>
    <w:rsid w:val="004C04EC"/>
    <w:rsid w:val="004C3767"/>
    <w:rsid w:val="004C6C9A"/>
    <w:rsid w:val="0050033E"/>
    <w:rsid w:val="00542A14"/>
    <w:rsid w:val="00545A1A"/>
    <w:rsid w:val="00551F24"/>
    <w:rsid w:val="0056550B"/>
    <w:rsid w:val="0059125D"/>
    <w:rsid w:val="005A5BC7"/>
    <w:rsid w:val="005C1E0E"/>
    <w:rsid w:val="005C420D"/>
    <w:rsid w:val="005D01B2"/>
    <w:rsid w:val="00606C4C"/>
    <w:rsid w:val="0062131C"/>
    <w:rsid w:val="006264DC"/>
    <w:rsid w:val="006310DB"/>
    <w:rsid w:val="0064666D"/>
    <w:rsid w:val="0064723D"/>
    <w:rsid w:val="00656154"/>
    <w:rsid w:val="00674414"/>
    <w:rsid w:val="006A302E"/>
    <w:rsid w:val="006C1B21"/>
    <w:rsid w:val="006C3AD9"/>
    <w:rsid w:val="006F1999"/>
    <w:rsid w:val="006F5C12"/>
    <w:rsid w:val="0071135D"/>
    <w:rsid w:val="007140FD"/>
    <w:rsid w:val="007345F4"/>
    <w:rsid w:val="007426A4"/>
    <w:rsid w:val="007613D6"/>
    <w:rsid w:val="007718BF"/>
    <w:rsid w:val="00781266"/>
    <w:rsid w:val="007C7E20"/>
    <w:rsid w:val="007D2ACF"/>
    <w:rsid w:val="007E3D39"/>
    <w:rsid w:val="007F147B"/>
    <w:rsid w:val="007F7200"/>
    <w:rsid w:val="008424A8"/>
    <w:rsid w:val="00850CD2"/>
    <w:rsid w:val="008543C4"/>
    <w:rsid w:val="00862EA1"/>
    <w:rsid w:val="0086739A"/>
    <w:rsid w:val="00874DFF"/>
    <w:rsid w:val="00884609"/>
    <w:rsid w:val="008A2AB5"/>
    <w:rsid w:val="008B1EAC"/>
    <w:rsid w:val="008B430A"/>
    <w:rsid w:val="008B5EDD"/>
    <w:rsid w:val="008C4097"/>
    <w:rsid w:val="008E6B46"/>
    <w:rsid w:val="00901DC7"/>
    <w:rsid w:val="0092495B"/>
    <w:rsid w:val="009265E6"/>
    <w:rsid w:val="009274F3"/>
    <w:rsid w:val="00937754"/>
    <w:rsid w:val="00961937"/>
    <w:rsid w:val="00961BE9"/>
    <w:rsid w:val="00975739"/>
    <w:rsid w:val="00976C3D"/>
    <w:rsid w:val="00980265"/>
    <w:rsid w:val="00995EFA"/>
    <w:rsid w:val="009B427C"/>
    <w:rsid w:val="009B51F5"/>
    <w:rsid w:val="009C3B91"/>
    <w:rsid w:val="009F08F5"/>
    <w:rsid w:val="009F327A"/>
    <w:rsid w:val="009F6759"/>
    <w:rsid w:val="00A061D3"/>
    <w:rsid w:val="00A37336"/>
    <w:rsid w:val="00A46625"/>
    <w:rsid w:val="00A63E9F"/>
    <w:rsid w:val="00A81F12"/>
    <w:rsid w:val="00AA411C"/>
    <w:rsid w:val="00AA5692"/>
    <w:rsid w:val="00AB2CFD"/>
    <w:rsid w:val="00AB64CD"/>
    <w:rsid w:val="00AC4198"/>
    <w:rsid w:val="00AD747C"/>
    <w:rsid w:val="00AE4300"/>
    <w:rsid w:val="00AF00D6"/>
    <w:rsid w:val="00B02ED4"/>
    <w:rsid w:val="00B06A8B"/>
    <w:rsid w:val="00B144BB"/>
    <w:rsid w:val="00B20D5E"/>
    <w:rsid w:val="00B26CDA"/>
    <w:rsid w:val="00B964F4"/>
    <w:rsid w:val="00BD7CCA"/>
    <w:rsid w:val="00BF6813"/>
    <w:rsid w:val="00C16F4B"/>
    <w:rsid w:val="00C229B1"/>
    <w:rsid w:val="00C331AD"/>
    <w:rsid w:val="00C4075E"/>
    <w:rsid w:val="00C43955"/>
    <w:rsid w:val="00C5098B"/>
    <w:rsid w:val="00C56D72"/>
    <w:rsid w:val="00C62992"/>
    <w:rsid w:val="00C63A84"/>
    <w:rsid w:val="00C64313"/>
    <w:rsid w:val="00C84CC0"/>
    <w:rsid w:val="00C862F3"/>
    <w:rsid w:val="00C910AC"/>
    <w:rsid w:val="00C97AC7"/>
    <w:rsid w:val="00CB565B"/>
    <w:rsid w:val="00CE4674"/>
    <w:rsid w:val="00D04E0A"/>
    <w:rsid w:val="00D1533E"/>
    <w:rsid w:val="00D27EF4"/>
    <w:rsid w:val="00D40FDB"/>
    <w:rsid w:val="00D433A2"/>
    <w:rsid w:val="00D45292"/>
    <w:rsid w:val="00D95692"/>
    <w:rsid w:val="00DA09E6"/>
    <w:rsid w:val="00DE043C"/>
    <w:rsid w:val="00DE3E60"/>
    <w:rsid w:val="00DF0173"/>
    <w:rsid w:val="00DF1640"/>
    <w:rsid w:val="00DF19F9"/>
    <w:rsid w:val="00DF2BB1"/>
    <w:rsid w:val="00DF5E6C"/>
    <w:rsid w:val="00E140A0"/>
    <w:rsid w:val="00E21EA2"/>
    <w:rsid w:val="00E21F37"/>
    <w:rsid w:val="00E22687"/>
    <w:rsid w:val="00E339AA"/>
    <w:rsid w:val="00E424C9"/>
    <w:rsid w:val="00E50DED"/>
    <w:rsid w:val="00E52244"/>
    <w:rsid w:val="00E62A63"/>
    <w:rsid w:val="00E70CC8"/>
    <w:rsid w:val="00E7768D"/>
    <w:rsid w:val="00E9647B"/>
    <w:rsid w:val="00E978F2"/>
    <w:rsid w:val="00EB24C9"/>
    <w:rsid w:val="00EE2C0A"/>
    <w:rsid w:val="00F02E5D"/>
    <w:rsid w:val="00F15D04"/>
    <w:rsid w:val="00F404E6"/>
    <w:rsid w:val="00F41704"/>
    <w:rsid w:val="00F52811"/>
    <w:rsid w:val="00F6661A"/>
    <w:rsid w:val="00FC2DA2"/>
    <w:rsid w:val="00FC7A30"/>
    <w:rsid w:val="00FF75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6FE0EA"/>
  <w15:chartTrackingRefBased/>
  <w15:docId w15:val="{1CC547E6-C0F1-448B-9FAF-FA724744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EE9"/>
    <w:pPr>
      <w:ind w:left="720"/>
      <w:contextualSpacing/>
    </w:pPr>
  </w:style>
  <w:style w:type="paragraph" w:styleId="Header">
    <w:name w:val="header"/>
    <w:basedOn w:val="Normal"/>
    <w:link w:val="HeaderChar"/>
    <w:uiPriority w:val="99"/>
    <w:unhideWhenUsed/>
    <w:rsid w:val="009802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265"/>
  </w:style>
  <w:style w:type="paragraph" w:styleId="Footer">
    <w:name w:val="footer"/>
    <w:basedOn w:val="Normal"/>
    <w:link w:val="FooterChar"/>
    <w:uiPriority w:val="99"/>
    <w:unhideWhenUsed/>
    <w:rsid w:val="009802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265"/>
  </w:style>
  <w:style w:type="paragraph" w:styleId="FootnoteText">
    <w:name w:val="footnote text"/>
    <w:basedOn w:val="Normal"/>
    <w:link w:val="FootnoteTextChar"/>
    <w:uiPriority w:val="99"/>
    <w:semiHidden/>
    <w:unhideWhenUsed/>
    <w:rsid w:val="009802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265"/>
    <w:rPr>
      <w:sz w:val="20"/>
      <w:szCs w:val="20"/>
    </w:rPr>
  </w:style>
  <w:style w:type="character" w:styleId="FootnoteReference">
    <w:name w:val="footnote reference"/>
    <w:basedOn w:val="DefaultParagraphFont"/>
    <w:uiPriority w:val="99"/>
    <w:semiHidden/>
    <w:unhideWhenUsed/>
    <w:rsid w:val="00980265"/>
    <w:rPr>
      <w:vertAlign w:val="superscript"/>
    </w:rPr>
  </w:style>
  <w:style w:type="character" w:styleId="CommentReference">
    <w:name w:val="annotation reference"/>
    <w:basedOn w:val="DefaultParagraphFont"/>
    <w:uiPriority w:val="99"/>
    <w:semiHidden/>
    <w:unhideWhenUsed/>
    <w:rsid w:val="007C7E20"/>
    <w:rPr>
      <w:sz w:val="16"/>
      <w:szCs w:val="16"/>
    </w:rPr>
  </w:style>
  <w:style w:type="paragraph" w:styleId="CommentText">
    <w:name w:val="annotation text"/>
    <w:basedOn w:val="Normal"/>
    <w:link w:val="CommentTextChar"/>
    <w:uiPriority w:val="99"/>
    <w:semiHidden/>
    <w:unhideWhenUsed/>
    <w:rsid w:val="007C7E20"/>
    <w:pPr>
      <w:spacing w:line="240" w:lineRule="auto"/>
    </w:pPr>
    <w:rPr>
      <w:sz w:val="20"/>
      <w:szCs w:val="20"/>
    </w:rPr>
  </w:style>
  <w:style w:type="character" w:customStyle="1" w:styleId="CommentTextChar">
    <w:name w:val="Comment Text Char"/>
    <w:basedOn w:val="DefaultParagraphFont"/>
    <w:link w:val="CommentText"/>
    <w:uiPriority w:val="99"/>
    <w:semiHidden/>
    <w:rsid w:val="007C7E20"/>
    <w:rPr>
      <w:sz w:val="20"/>
      <w:szCs w:val="20"/>
    </w:rPr>
  </w:style>
  <w:style w:type="paragraph" w:styleId="CommentSubject">
    <w:name w:val="annotation subject"/>
    <w:basedOn w:val="CommentText"/>
    <w:next w:val="CommentText"/>
    <w:link w:val="CommentSubjectChar"/>
    <w:uiPriority w:val="99"/>
    <w:semiHidden/>
    <w:unhideWhenUsed/>
    <w:rsid w:val="007C7E20"/>
    <w:rPr>
      <w:b/>
      <w:bCs/>
    </w:rPr>
  </w:style>
  <w:style w:type="character" w:customStyle="1" w:styleId="CommentSubjectChar">
    <w:name w:val="Comment Subject Char"/>
    <w:basedOn w:val="CommentTextChar"/>
    <w:link w:val="CommentSubject"/>
    <w:uiPriority w:val="99"/>
    <w:semiHidden/>
    <w:rsid w:val="007C7E20"/>
    <w:rPr>
      <w:b/>
      <w:bCs/>
      <w:sz w:val="20"/>
      <w:szCs w:val="20"/>
    </w:rPr>
  </w:style>
  <w:style w:type="paragraph" w:styleId="BalloonText">
    <w:name w:val="Balloon Text"/>
    <w:basedOn w:val="Normal"/>
    <w:link w:val="BalloonTextChar"/>
    <w:uiPriority w:val="99"/>
    <w:semiHidden/>
    <w:unhideWhenUsed/>
    <w:rsid w:val="007C7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E20"/>
    <w:rPr>
      <w:rFonts w:ascii="Segoe UI" w:hAnsi="Segoe UI" w:cs="Segoe UI"/>
      <w:sz w:val="18"/>
      <w:szCs w:val="18"/>
    </w:rPr>
  </w:style>
  <w:style w:type="paragraph" w:customStyle="1" w:styleId="Default">
    <w:name w:val="Default"/>
    <w:rsid w:val="003D588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20D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elaw.nsw.gov.au/decision/5bbd3089e4b0b9ab4021022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A5F6C-0935-4F58-A972-545A2A7C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Health Professional Councils Authority</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Wajma Aziza</dc:creator>
  <cp:keywords/>
  <dc:description/>
  <cp:lastModifiedBy>Cameron Duffy</cp:lastModifiedBy>
  <cp:revision>2</cp:revision>
  <dcterms:created xsi:type="dcterms:W3CDTF">2019-07-30T05:20:00Z</dcterms:created>
  <dcterms:modified xsi:type="dcterms:W3CDTF">2019-07-30T05:20:00Z</dcterms:modified>
</cp:coreProperties>
</file>